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11D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晋江市住房和城乡建设局关于</w:t>
      </w:r>
      <w:r>
        <w:rPr>
          <w:rFonts w:hint="eastAsia" w:ascii="方正小标宋简体" w:hAnsi="方正小标宋简体" w:eastAsia="方正小标宋简体" w:cs="方正小标宋简体"/>
          <w:sz w:val="44"/>
          <w:szCs w:val="44"/>
          <w:lang w:val="en-US" w:eastAsia="zh-CN"/>
        </w:rPr>
        <w:t>2025年</w:t>
      </w:r>
    </w:p>
    <w:p w14:paraId="34D73BE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法治政府建设情况的报告</w:t>
      </w:r>
    </w:p>
    <w:p w14:paraId="4EA3FD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14:paraId="47543355">
      <w:pPr>
        <w:pStyle w:val="6"/>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中共晋江市委、晋江市人民政府：</w:t>
      </w:r>
    </w:p>
    <w:p w14:paraId="28F9848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晋江市住建局坚持以习近平新时代中国特色社会主义思想为指导，全面贯彻落实党的二十大和二十届历次全会精神，深入贯彻落实习近平法治思想，紧密围绕住房和城乡建设中心工作，深入推进依法行政，切实</w:t>
      </w:r>
      <w:r>
        <w:rPr>
          <w:rFonts w:hint="default" w:ascii="仿宋_GB2312" w:hAnsi="仿宋_GB2312" w:eastAsia="仿宋_GB2312" w:cs="仿宋_GB2312"/>
          <w:color w:val="auto"/>
          <w:sz w:val="32"/>
          <w:szCs w:val="32"/>
          <w:highlight w:val="none"/>
          <w:lang w:val="en-US" w:eastAsia="zh-CN"/>
        </w:rPr>
        <w:t>提高依法行政能力</w:t>
      </w:r>
      <w:r>
        <w:rPr>
          <w:rFonts w:hint="eastAsia" w:ascii="仿宋_GB2312" w:hAnsi="仿宋_GB2312" w:eastAsia="仿宋_GB2312" w:cs="仿宋_GB2312"/>
          <w:color w:val="auto"/>
          <w:sz w:val="32"/>
          <w:szCs w:val="32"/>
          <w:highlight w:val="none"/>
          <w:lang w:val="en-US" w:eastAsia="zh-CN"/>
        </w:rPr>
        <w:t xml:space="preserve">，努力营造住建领域良好法治环境。  </w:t>
      </w:r>
    </w:p>
    <w:p w14:paraId="33C03EC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一、2025年工作情况</w:t>
      </w:r>
    </w:p>
    <w:p w14:paraId="6D1782FB">
      <w:pPr>
        <w:pStyle w:val="5"/>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outlineLvl w:val="9"/>
        <w:rPr>
          <w:rFonts w:hint="eastAsia" w:ascii="楷体" w:hAnsi="楷体" w:eastAsia="楷体" w:cs="楷体"/>
          <w:sz w:val="32"/>
          <w:szCs w:val="32"/>
          <w:highlight w:val="none"/>
          <w:lang w:val="en-US" w:eastAsia="zh-CN"/>
        </w:rPr>
      </w:pPr>
      <w:r>
        <w:rPr>
          <w:rFonts w:hint="eastAsia" w:ascii="楷体" w:hAnsi="楷体" w:eastAsia="楷体" w:cs="楷体"/>
          <w:kern w:val="2"/>
          <w:sz w:val="32"/>
          <w:szCs w:val="32"/>
          <w:highlight w:val="none"/>
          <w:lang w:val="en-US" w:eastAsia="zh-CN" w:bidi="ar-SA"/>
        </w:rPr>
        <w:t>（一）全面学习贯彻习近平法治思想。</w:t>
      </w:r>
      <w:r>
        <w:rPr>
          <w:rFonts w:hint="eastAsia" w:ascii="仿宋_GB2312" w:hAnsi="仿宋_GB2312" w:eastAsia="仿宋_GB2312" w:cs="仿宋_GB2312"/>
          <w:b/>
          <w:bCs/>
          <w:color w:val="auto"/>
          <w:kern w:val="2"/>
          <w:sz w:val="32"/>
          <w:szCs w:val="32"/>
          <w:highlight w:val="none"/>
          <w:lang w:val="en-US" w:eastAsia="zh-CN" w:bidi="ar-SA"/>
        </w:rPr>
        <w:t>一是深化思想引领。</w:t>
      </w:r>
      <w:r>
        <w:rPr>
          <w:rFonts w:hint="eastAsia" w:ascii="仿宋_GB2312" w:hAnsi="仿宋_GB2312" w:eastAsia="仿宋_GB2312" w:cs="仿宋_GB2312"/>
          <w:color w:val="auto"/>
          <w:kern w:val="2"/>
          <w:sz w:val="32"/>
          <w:szCs w:val="32"/>
          <w:highlight w:val="none"/>
          <w:lang w:val="en-US" w:eastAsia="zh-CN" w:bidi="ar-SA"/>
        </w:rPr>
        <w:t>将习近平法治思想、党的二十大和二十届二中、三中、四中全会精神纳入党组理论学习中心组学习、党支部“三会一课”、干部教育培训内容，组织学习《中国共产党纪律处分条例》等党内法规，</w:t>
      </w:r>
      <w:r>
        <w:rPr>
          <w:rFonts w:hint="default" w:ascii="仿宋_GB2312" w:hAnsi="仿宋_GB2312" w:eastAsia="仿宋_GB2312" w:cs="仿宋_GB2312"/>
          <w:color w:val="auto"/>
          <w:kern w:val="2"/>
          <w:sz w:val="32"/>
          <w:szCs w:val="32"/>
          <w:highlight w:val="none"/>
          <w:lang w:val="en-US" w:eastAsia="zh-CN" w:bidi="ar-SA"/>
        </w:rPr>
        <w:t>提高干部职工法治认识</w:t>
      </w:r>
      <w:r>
        <w:rPr>
          <w:rFonts w:hint="eastAsia" w:ascii="仿宋_GB2312" w:hAnsi="仿宋_GB2312" w:eastAsia="仿宋_GB2312" w:cs="仿宋_GB2312"/>
          <w:color w:val="auto"/>
          <w:kern w:val="2"/>
          <w:sz w:val="32"/>
          <w:szCs w:val="32"/>
          <w:highlight w:val="none"/>
          <w:lang w:val="en-US" w:eastAsia="zh-CN" w:bidi="ar-SA"/>
        </w:rPr>
        <w:t>，筑牢依法履职的思想根基。</w:t>
      </w:r>
      <w:r>
        <w:rPr>
          <w:rFonts w:hint="eastAsia" w:ascii="仿宋_GB2312" w:hAnsi="仿宋_GB2312" w:eastAsia="仿宋_GB2312" w:cs="仿宋_GB2312"/>
          <w:b/>
          <w:bCs/>
          <w:color w:val="auto"/>
          <w:kern w:val="2"/>
          <w:sz w:val="32"/>
          <w:szCs w:val="32"/>
          <w:highlight w:val="none"/>
          <w:lang w:val="en-US" w:eastAsia="zh-CN" w:bidi="ar-SA"/>
        </w:rPr>
        <w:t>二是压实法治建设主体责任。</w:t>
      </w:r>
      <w:r>
        <w:rPr>
          <w:rFonts w:hint="eastAsia" w:ascii="仿宋_GB2312" w:hAnsi="仿宋_GB2312" w:eastAsia="仿宋_GB2312" w:cs="仿宋_GB2312"/>
          <w:color w:val="auto"/>
          <w:kern w:val="2"/>
          <w:sz w:val="32"/>
          <w:szCs w:val="32"/>
          <w:highlight w:val="none"/>
          <w:lang w:val="en-US" w:eastAsia="zh-CN" w:bidi="ar-SA"/>
        </w:rPr>
        <w:t>局主要负责人作为法治政府建设第一责任人，</w:t>
      </w:r>
      <w:r>
        <w:rPr>
          <w:rFonts w:hint="default" w:ascii="仿宋_GB2312" w:hAnsi="仿宋_GB2312" w:eastAsia="仿宋_GB2312" w:cs="仿宋_GB2312"/>
          <w:color w:val="auto"/>
          <w:kern w:val="2"/>
          <w:sz w:val="32"/>
          <w:szCs w:val="32"/>
          <w:highlight w:val="none"/>
          <w:lang w:val="en-US" w:eastAsia="zh-CN" w:bidi="ar-SA"/>
        </w:rPr>
        <w:t>坚持把党的领导贯彻到法治政府建设全过程，</w:t>
      </w:r>
      <w:r>
        <w:rPr>
          <w:rFonts w:hint="eastAsia" w:ascii="仿宋_GB2312" w:hAnsi="仿宋_GB2312" w:eastAsia="仿宋_GB2312" w:cs="仿宋_GB2312"/>
          <w:color w:val="auto"/>
          <w:kern w:val="2"/>
          <w:sz w:val="32"/>
          <w:szCs w:val="32"/>
          <w:highlight w:val="none"/>
          <w:lang w:val="en-US" w:eastAsia="zh-CN" w:bidi="ar-SA"/>
        </w:rPr>
        <w:t>把法治建设工作与局中心工作同谋划、同部署、同推进 ，推动住房和城乡建设工作全面纳入法治轨道。领导班子成员带头学法用法守法，发挥“关键少数”领学促学作用，带动干部职工树牢法治思维、严守纪律规矩。</w:t>
      </w:r>
      <w:r>
        <w:rPr>
          <w:rFonts w:hint="eastAsia" w:ascii="仿宋_GB2312" w:hAnsi="仿宋_GB2312" w:eastAsia="仿宋_GB2312" w:cs="仿宋_GB2312"/>
          <w:b/>
          <w:bCs/>
          <w:color w:val="auto"/>
          <w:kern w:val="2"/>
          <w:sz w:val="32"/>
          <w:szCs w:val="32"/>
          <w:highlight w:val="none"/>
          <w:lang w:val="en-US" w:eastAsia="zh-CN" w:bidi="ar-SA"/>
        </w:rPr>
        <w:t>三是严格落实法治建设情况报告制度。</w:t>
      </w:r>
      <w:r>
        <w:rPr>
          <w:rFonts w:hint="eastAsia" w:ascii="仿宋_GB2312" w:hAnsi="仿宋_GB2312" w:eastAsia="仿宋_GB2312" w:cs="仿宋_GB2312"/>
          <w:b w:val="0"/>
          <w:bCs w:val="0"/>
          <w:color w:val="auto"/>
          <w:kern w:val="2"/>
          <w:sz w:val="32"/>
          <w:szCs w:val="32"/>
          <w:highlight w:val="none"/>
          <w:lang w:val="en-US" w:eastAsia="zh-CN" w:bidi="ar-SA"/>
        </w:rPr>
        <w:t>按时报告年度法治建设情况，并通过网站向社会公开，接受群众监督。</w:t>
      </w:r>
    </w:p>
    <w:p w14:paraId="3BD8B74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kern w:val="2"/>
          <w:sz w:val="32"/>
          <w:szCs w:val="32"/>
          <w:highlight w:val="none"/>
          <w:lang w:val="en-US" w:eastAsia="zh-CN" w:bidi="ar-SA"/>
        </w:rPr>
        <w:t>（二）积极打造法治化营商环境。</w:t>
      </w:r>
      <w:r>
        <w:rPr>
          <w:rFonts w:hint="eastAsia" w:ascii="楷体" w:hAnsi="楷体" w:eastAsia="楷体" w:cs="楷体"/>
          <w:b/>
          <w:bCs/>
          <w:kern w:val="2"/>
          <w:sz w:val="32"/>
          <w:szCs w:val="32"/>
          <w:highlight w:val="none"/>
          <w:lang w:val="en-US" w:eastAsia="zh-CN" w:bidi="ar-SA"/>
        </w:rPr>
        <w:t>一是优化工程项目建设许可。</w:t>
      </w:r>
      <w:r>
        <w:rPr>
          <w:rFonts w:hint="eastAsia" w:ascii="仿宋_GB2312" w:hAnsi="仿宋_GB2312" w:eastAsia="仿宋_GB2312" w:cs="仿宋_GB2312"/>
          <w:color w:val="auto"/>
          <w:kern w:val="2"/>
          <w:sz w:val="32"/>
          <w:szCs w:val="32"/>
          <w:highlight w:val="none"/>
          <w:lang w:val="en-US" w:eastAsia="zh-CN" w:bidi="ar-SA"/>
        </w:rPr>
        <w:t>创新“桩基先行”模式，项目完成桩基施工图审查即可申领桩基施工许可证，2025年为福建省集成电路产业园2号区块项目（七期）等62个项目办理相关手续，缩短项目开工周期3-6个月。实行告知承诺制，为晋江市肿瘤先进粒子治疗示范中心等65个项目办理非关键材料先办后补。开</w:t>
      </w:r>
      <w:r>
        <w:rPr>
          <w:rFonts w:hint="eastAsia" w:ascii="仿宋_GB2312" w:hAnsi="仿宋_GB2312" w:eastAsia="仿宋_GB2312" w:cs="仿宋_GB2312"/>
          <w:sz w:val="32"/>
          <w:szCs w:val="32"/>
          <w:highlight w:val="none"/>
        </w:rPr>
        <w:t>通免费审图服务通道，</w:t>
      </w:r>
      <w:r>
        <w:rPr>
          <w:rFonts w:hint="eastAsia" w:ascii="Times New Roman" w:hAnsi="Times New Roman" w:eastAsia="仿宋_GB2312" w:cs="仿宋_GB2312"/>
          <w:sz w:val="32"/>
          <w:szCs w:val="32"/>
          <w:highlight w:val="none"/>
        </w:rPr>
        <w:t>2025</w:t>
      </w:r>
      <w:r>
        <w:rPr>
          <w:rFonts w:hint="eastAsia" w:ascii="仿宋_GB2312" w:hAnsi="仿宋_GB2312" w:eastAsia="仿宋_GB2312" w:cs="仿宋_GB2312"/>
          <w:sz w:val="32"/>
          <w:szCs w:val="32"/>
          <w:highlight w:val="none"/>
        </w:rPr>
        <w:t>年为</w:t>
      </w:r>
      <w:r>
        <w:rPr>
          <w:rFonts w:hint="eastAsia"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个工业</w:t>
      </w:r>
      <w:r>
        <w:rPr>
          <w:rFonts w:hint="eastAsia" w:ascii="仿宋_GB2312" w:hAnsi="仿宋_GB2312" w:eastAsia="仿宋_GB2312" w:cs="仿宋_GB2312"/>
          <w:color w:val="auto"/>
          <w:kern w:val="2"/>
          <w:sz w:val="32"/>
          <w:szCs w:val="32"/>
          <w:highlight w:val="none"/>
          <w:lang w:val="en-US" w:eastAsia="zh-CN" w:bidi="ar-SA"/>
        </w:rPr>
        <w:t>（产业）园区标准化建设项目提供服务，推动项目尽早启动建设。推行工程规划许可、工程建设施工许可、人防及消防设计审查等手续“多证联办”协同，助力金保利绿色循环产业园等5个项目实现“交地即交证”“拿地即开工”。</w:t>
      </w:r>
      <w:r>
        <w:rPr>
          <w:rFonts w:hint="eastAsia" w:ascii="仿宋_GB2312" w:hAnsi="仿宋_GB2312" w:eastAsia="仿宋_GB2312" w:cs="仿宋_GB2312"/>
          <w:b/>
          <w:bCs/>
          <w:color w:val="auto"/>
          <w:kern w:val="2"/>
          <w:sz w:val="32"/>
          <w:szCs w:val="32"/>
          <w:highlight w:val="none"/>
          <w:lang w:val="en-US" w:eastAsia="zh-CN" w:bidi="ar-SA"/>
        </w:rPr>
        <w:t>二是推行工程联合验收。</w:t>
      </w:r>
      <w:r>
        <w:rPr>
          <w:rFonts w:hint="eastAsia" w:ascii="仿宋_GB2312" w:hAnsi="仿宋_GB2312" w:eastAsia="仿宋_GB2312" w:cs="仿宋_GB2312"/>
          <w:color w:val="auto"/>
          <w:kern w:val="2"/>
          <w:sz w:val="32"/>
          <w:szCs w:val="32"/>
          <w:highlight w:val="none"/>
          <w:lang w:val="en-US" w:eastAsia="zh-CN" w:bidi="ar-SA"/>
        </w:rPr>
        <w:t>将竣工备案与规划、消防、人防、档案等专项验收事项并联开展，2025年共106余家企业受益，涉及建筑面积571万平方米，助力建设整体流程提速提效。实施“验登合一”，将工程验收与登记发证并联办理，2025年英林园服饰标准化厂房一体化微工业园项目（一期）等10个项目“竣工即发证”，显著提升审批效率。</w:t>
      </w:r>
      <w:r>
        <w:rPr>
          <w:rFonts w:hint="eastAsia" w:ascii="仿宋_GB2312" w:hAnsi="仿宋_GB2312" w:eastAsia="仿宋_GB2312" w:cs="仿宋_GB2312"/>
          <w:b/>
          <w:bCs/>
          <w:color w:val="auto"/>
          <w:sz w:val="32"/>
          <w:szCs w:val="32"/>
          <w:highlight w:val="none"/>
          <w:lang w:val="en-US" w:eastAsia="zh-CN"/>
        </w:rPr>
        <w:t>三是强化行业源头监管。</w:t>
      </w:r>
      <w:r>
        <w:rPr>
          <w:rFonts w:hint="eastAsia" w:ascii="仿宋_GB2312" w:eastAsia="仿宋_GB2312" w:cs="Times New Roman"/>
          <w:color w:val="auto"/>
          <w:sz w:val="32"/>
          <w:szCs w:val="32"/>
          <w:highlight w:val="none"/>
          <w:lang w:val="en-US" w:eastAsia="zh-CN"/>
        </w:rPr>
        <w:t>聚焦企业群众关注的焦点问题，加强房地产预售资金监管，组织开展住宅工程</w:t>
      </w:r>
      <w:r>
        <w:rPr>
          <w:rFonts w:hint="default" w:ascii="仿宋_GB2312" w:eastAsia="仿宋_GB2312" w:cs="Times New Roman"/>
          <w:color w:val="auto"/>
          <w:sz w:val="32"/>
          <w:szCs w:val="32"/>
          <w:highlight w:val="none"/>
          <w:lang w:val="en-US" w:eastAsia="zh-CN"/>
        </w:rPr>
        <w:t>室外消防管网、防水</w:t>
      </w:r>
      <w:r>
        <w:rPr>
          <w:rFonts w:hint="eastAsia" w:ascii="仿宋_GB2312" w:eastAsia="仿宋_GB2312" w:cs="Times New Roman"/>
          <w:color w:val="auto"/>
          <w:sz w:val="32"/>
          <w:szCs w:val="32"/>
          <w:highlight w:val="none"/>
          <w:lang w:val="en-US" w:eastAsia="zh-CN"/>
        </w:rPr>
        <w:t>工程、</w:t>
      </w:r>
      <w:r>
        <w:rPr>
          <w:rFonts w:hint="default" w:ascii="仿宋_GB2312" w:eastAsia="仿宋_GB2312" w:cs="Times New Roman"/>
          <w:color w:val="auto"/>
          <w:sz w:val="32"/>
          <w:szCs w:val="32"/>
          <w:highlight w:val="none"/>
          <w:lang w:val="en-US" w:eastAsia="zh-CN"/>
        </w:rPr>
        <w:t>钢筋</w:t>
      </w:r>
      <w:r>
        <w:rPr>
          <w:rFonts w:hint="eastAsia" w:ascii="仿宋_GB2312" w:eastAsia="仿宋_GB2312" w:cs="Times New Roman"/>
          <w:color w:val="auto"/>
          <w:sz w:val="32"/>
          <w:szCs w:val="32"/>
          <w:highlight w:val="none"/>
          <w:lang w:val="en-US" w:eastAsia="zh-CN"/>
        </w:rPr>
        <w:t>安装、混凝土工程质量</w:t>
      </w:r>
      <w:r>
        <w:rPr>
          <w:rFonts w:hint="default" w:ascii="仿宋_GB2312" w:eastAsia="仿宋_GB2312" w:cs="Times New Roman"/>
          <w:color w:val="auto"/>
          <w:sz w:val="32"/>
          <w:szCs w:val="32"/>
          <w:highlight w:val="none"/>
          <w:lang w:val="en-US" w:eastAsia="zh-CN"/>
        </w:rPr>
        <w:t>专项治理，联动镇街开展小区物业管理精细化考评</w:t>
      </w:r>
      <w:r>
        <w:rPr>
          <w:rFonts w:hint="eastAsia" w:ascii="仿宋_GB2312" w:eastAsia="仿宋_GB2312" w:cs="Times New Roman"/>
          <w:color w:val="auto"/>
          <w:sz w:val="32"/>
          <w:szCs w:val="32"/>
          <w:highlight w:val="none"/>
          <w:lang w:val="en-US" w:eastAsia="zh-CN"/>
        </w:rPr>
        <w:t>，持续强化建筑工人实名制管理，2025年住建领域信访量同比下降60%，信访维稳形势稳中有降。</w:t>
      </w:r>
    </w:p>
    <w:p w14:paraId="168052C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lang w:val="en-US" w:eastAsia="zh-CN"/>
        </w:rPr>
      </w:pPr>
      <w:r>
        <w:rPr>
          <w:rFonts w:hint="eastAsia" w:ascii="楷体" w:hAnsi="楷体" w:eastAsia="楷体" w:cs="楷体"/>
          <w:kern w:val="2"/>
          <w:sz w:val="32"/>
          <w:szCs w:val="32"/>
          <w:highlight w:val="none"/>
          <w:lang w:val="en-US" w:eastAsia="zh-CN" w:bidi="ar-SA"/>
        </w:rPr>
        <w:t>（三）扎实推进公正文明执法。</w:t>
      </w:r>
      <w:r>
        <w:rPr>
          <w:rFonts w:hint="eastAsia" w:ascii="仿宋_GB2312" w:hAnsi="仿宋_GB2312" w:eastAsia="仿宋_GB2312" w:cs="仿宋_GB2312"/>
          <w:b/>
          <w:bCs/>
          <w:color w:val="auto"/>
          <w:kern w:val="2"/>
          <w:sz w:val="32"/>
          <w:szCs w:val="32"/>
          <w:highlight w:val="none"/>
          <w:lang w:val="en-US" w:eastAsia="zh-CN" w:bidi="ar-SA"/>
        </w:rPr>
        <w:t>一是加强行政执法队伍建设。</w:t>
      </w:r>
      <w:r>
        <w:rPr>
          <w:rFonts w:hint="eastAsia" w:ascii="仿宋_GB2312" w:hAnsi="仿宋_GB2312" w:eastAsia="仿宋_GB2312" w:cs="仿宋_GB2312"/>
          <w:sz w:val="32"/>
          <w:szCs w:val="32"/>
          <w:highlight w:val="none"/>
          <w:u w:val="none"/>
        </w:rPr>
        <w:t>组织6名干部参加行政执法资格考试，</w:t>
      </w:r>
      <w:r>
        <w:rPr>
          <w:rFonts w:hint="eastAsia" w:ascii="仿宋_GB2312" w:hAnsi="仿宋_GB2312" w:eastAsia="仿宋_GB2312" w:cs="仿宋_GB2312"/>
          <w:sz w:val="32"/>
          <w:szCs w:val="32"/>
          <w:highlight w:val="none"/>
          <w:u w:val="none"/>
          <w:lang w:val="en-US" w:eastAsia="zh-CN"/>
        </w:rPr>
        <w:t>完成行政检查主体及行政执法人员清理，</w:t>
      </w:r>
      <w:r>
        <w:rPr>
          <w:rFonts w:hint="eastAsia" w:ascii="仿宋_GB2312" w:hAnsi="仿宋_GB2312" w:eastAsia="仿宋_GB2312" w:cs="仿宋_GB2312"/>
          <w:sz w:val="32"/>
          <w:szCs w:val="32"/>
          <w:highlight w:val="none"/>
          <w:u w:val="none"/>
        </w:rPr>
        <w:t>全局现有行政执法资格人员</w:t>
      </w:r>
      <w:r>
        <w:rPr>
          <w:rFonts w:hint="eastAsia" w:ascii="仿宋_GB2312" w:hAnsi="仿宋_GB2312" w:eastAsia="仿宋_GB2312" w:cs="仿宋_GB2312"/>
          <w:sz w:val="32"/>
          <w:szCs w:val="32"/>
          <w:highlight w:val="none"/>
          <w:u w:val="none"/>
          <w:lang w:val="en-US" w:eastAsia="zh-CN"/>
        </w:rPr>
        <w:t>89</w:t>
      </w:r>
      <w:r>
        <w:rPr>
          <w:rFonts w:hint="eastAsia" w:ascii="仿宋_GB2312" w:hAnsi="仿宋_GB2312" w:eastAsia="仿宋_GB2312" w:cs="仿宋_GB2312"/>
          <w:sz w:val="32"/>
          <w:szCs w:val="32"/>
          <w:highlight w:val="none"/>
          <w:u w:val="none"/>
        </w:rPr>
        <w:t>名，</w:t>
      </w:r>
      <w:r>
        <w:rPr>
          <w:rFonts w:hint="eastAsia" w:ascii="仿宋_GB2312" w:hAnsi="仿宋_GB2312" w:eastAsia="仿宋_GB2312" w:cs="仿宋_GB2312"/>
          <w:sz w:val="32"/>
          <w:szCs w:val="32"/>
          <w:highlight w:val="none"/>
          <w:u w:val="none"/>
          <w:lang w:eastAsia="zh-CN"/>
        </w:rPr>
        <w:t>占比在编人员总数</w:t>
      </w:r>
      <w:r>
        <w:rPr>
          <w:rFonts w:hint="eastAsia" w:ascii="仿宋_GB2312" w:hAnsi="仿宋_GB2312" w:eastAsia="仿宋_GB2312" w:cs="仿宋_GB2312"/>
          <w:sz w:val="32"/>
          <w:szCs w:val="32"/>
          <w:highlight w:val="none"/>
          <w:u w:val="none"/>
          <w:lang w:val="en-US" w:eastAsia="zh-CN"/>
        </w:rPr>
        <w:t>73%，均通过“闽执法”平台重新公布。</w:t>
      </w:r>
      <w:r>
        <w:rPr>
          <w:rFonts w:hint="eastAsia" w:ascii="仿宋_GB2312" w:hAnsi="宋体" w:eastAsia="仿宋_GB2312" w:cs="仿宋_GB2312"/>
          <w:color w:val="333333"/>
          <w:spacing w:val="11"/>
          <w:kern w:val="0"/>
          <w:sz w:val="32"/>
          <w:szCs w:val="32"/>
          <w:highlight w:val="none"/>
          <w:u w:val="none"/>
          <w:shd w:val="clear" w:color="auto" w:fill="FFFFFF"/>
          <w:lang w:val="en-US" w:eastAsia="zh-CN" w:bidi="ar"/>
        </w:rPr>
        <w:t>组织</w:t>
      </w:r>
      <w:r>
        <w:rPr>
          <w:rFonts w:hint="eastAsia" w:eastAsia="仿宋_GB2312"/>
          <w:sz w:val="32"/>
          <w:szCs w:val="32"/>
          <w:highlight w:val="none"/>
          <w:u w:val="none"/>
          <w:lang w:eastAsia="zh-CN"/>
        </w:rPr>
        <w:t>参加司法部</w:t>
      </w:r>
      <w:r>
        <w:rPr>
          <w:rFonts w:hint="eastAsia" w:ascii="仿宋_GB2312" w:hAnsi="仿宋_GB2312" w:eastAsia="仿宋_GB2312" w:cs="仿宋_GB2312"/>
          <w:color w:val="auto"/>
          <w:sz w:val="32"/>
          <w:szCs w:val="32"/>
          <w:highlight w:val="none"/>
          <w:u w:val="none"/>
          <w:lang w:val="en-US" w:eastAsia="zh-CN"/>
        </w:rPr>
        <w:t>学习贯彻习近平法治思想强化行政执法能力建设、泉州市住建系统</w:t>
      </w:r>
      <w:r>
        <w:rPr>
          <w:rFonts w:hint="eastAsia" w:eastAsia="仿宋_GB2312"/>
          <w:sz w:val="32"/>
          <w:szCs w:val="32"/>
          <w:highlight w:val="none"/>
          <w:u w:val="none"/>
          <w:lang w:eastAsia="zh-CN"/>
        </w:rPr>
        <w:t>行政执法等专题培训，</w:t>
      </w:r>
      <w:r>
        <w:rPr>
          <w:rFonts w:hint="eastAsia" w:ascii="Times New Roman" w:hAnsi="Times New Roman" w:eastAsia="仿宋_GB2312" w:cs="仿宋_GB2312"/>
          <w:spacing w:val="-6"/>
          <w:sz w:val="32"/>
          <w:szCs w:val="32"/>
          <w:highlight w:val="none"/>
          <w:u w:val="none"/>
          <w:lang w:eastAsia="zh-CN"/>
        </w:rPr>
        <w:t>提升执法人员能力素质。</w:t>
      </w:r>
      <w:r>
        <w:rPr>
          <w:rFonts w:hint="eastAsia" w:ascii="仿宋_GB2312" w:hAnsi="仿宋_GB2312" w:eastAsia="仿宋_GB2312" w:cs="仿宋_GB2312"/>
          <w:b/>
          <w:bCs/>
          <w:color w:val="auto"/>
          <w:kern w:val="2"/>
          <w:sz w:val="32"/>
          <w:szCs w:val="32"/>
          <w:highlight w:val="none"/>
          <w:lang w:val="en-US" w:eastAsia="zh-CN" w:bidi="ar-SA"/>
        </w:rPr>
        <w:t>二是加强行业领域执法力度。</w:t>
      </w:r>
      <w:r>
        <w:rPr>
          <w:rFonts w:hint="eastAsia" w:ascii="仿宋_GB2312" w:hAnsi="仿宋_GB2312" w:eastAsia="仿宋_GB2312" w:cs="仿宋_GB2312"/>
          <w:color w:val="auto"/>
          <w:sz w:val="32"/>
          <w:szCs w:val="32"/>
          <w:highlight w:val="none"/>
          <w:u w:val="none"/>
          <w:lang w:val="en-US" w:eastAsia="zh-CN"/>
        </w:rPr>
        <w:t>制定《晋江市住房和城乡建设局严格规范涉企行政检查工作实施方案》，公布涉企行政检查事项清单及频次上限，严肃查处违法违规问题，2025年依法处罚企业76家次、个人51人次，共处罚金935万元，对施工、监理等市场主体动态记信用分18086分，公布差异化监管对象143家次。</w:t>
      </w:r>
      <w:r>
        <w:rPr>
          <w:rFonts w:hint="eastAsia" w:ascii="仿宋_GB2312" w:hAnsi="Times New Roman" w:eastAsia="仿宋_GB2312" w:cs="Times New Roman"/>
          <w:color w:val="000000"/>
          <w:kern w:val="0"/>
          <w:sz w:val="32"/>
          <w:szCs w:val="32"/>
          <w:highlight w:val="none"/>
          <w:u w:val="none"/>
          <w:lang w:val="en-US" w:eastAsia="zh-CN"/>
        </w:rPr>
        <w:t>专门配备1个执法记录仪采集站及25台执法记录仪，对建筑施工质量安全执法检查进行全过程录音录像，提升执法监督效能。</w:t>
      </w:r>
      <w:r>
        <w:rPr>
          <w:rFonts w:hint="eastAsia" w:ascii="仿宋_GB2312" w:hAnsi="仿宋_GB2312" w:eastAsia="仿宋_GB2312" w:cs="仿宋_GB2312"/>
          <w:b/>
          <w:bCs/>
          <w:color w:val="auto"/>
          <w:kern w:val="2"/>
          <w:sz w:val="32"/>
          <w:szCs w:val="32"/>
          <w:highlight w:val="none"/>
          <w:lang w:val="en-US" w:eastAsia="zh-CN" w:bidi="ar-SA"/>
        </w:rPr>
        <w:t>三是加强行政执法规范化建设。</w:t>
      </w:r>
      <w:r>
        <w:rPr>
          <w:rFonts w:hint="eastAsia" w:ascii="仿宋_GB2312" w:eastAsia="仿宋_GB2312" w:cs="Times New Roman"/>
          <w:color w:val="000000"/>
          <w:kern w:val="0"/>
          <w:sz w:val="32"/>
          <w:szCs w:val="32"/>
          <w:highlight w:val="none"/>
          <w:u w:val="none"/>
          <w:lang w:val="en-US" w:eastAsia="zh-CN"/>
        </w:rPr>
        <w:t>完善</w:t>
      </w:r>
      <w:r>
        <w:rPr>
          <w:rFonts w:hint="eastAsia" w:ascii="仿宋_GB2312" w:hAnsi="Times New Roman" w:eastAsia="仿宋_GB2312" w:cs="Times New Roman"/>
          <w:color w:val="000000"/>
          <w:kern w:val="0"/>
          <w:sz w:val="32"/>
          <w:szCs w:val="32"/>
          <w:highlight w:val="none"/>
          <w:u w:val="none"/>
          <w:lang w:val="en-US" w:eastAsia="zh-CN"/>
        </w:rPr>
        <w:t>局行政执法“三项制度”工作领导小组成员名单、重大行政执法决定法制审核目录，全面落实行政执法公示、执法全过程记录和重大执法决定法制审核制度，统一执行《福建省住房和城乡建设系统行政处罚裁量权基准（2025年版）》，全面运用闽执法平台开展日常行政执法，严格把关行政处罚立案、调查、告知、决定、送达各环节规范性，2025年行政处罚案件100%运用闽执法平台</w:t>
      </w:r>
      <w:r>
        <w:rPr>
          <w:rFonts w:hint="eastAsia" w:ascii="仿宋_GB2312" w:eastAsia="仿宋_GB2312" w:cs="Times New Roman"/>
          <w:color w:val="000000"/>
          <w:kern w:val="0"/>
          <w:sz w:val="32"/>
          <w:szCs w:val="32"/>
          <w:highlight w:val="none"/>
          <w:u w:val="none"/>
          <w:lang w:val="en-US" w:eastAsia="zh-CN"/>
        </w:rPr>
        <w:t>规范</w:t>
      </w:r>
      <w:r>
        <w:rPr>
          <w:rFonts w:hint="eastAsia" w:ascii="仿宋_GB2312" w:hAnsi="Times New Roman" w:eastAsia="仿宋_GB2312" w:cs="Times New Roman"/>
          <w:color w:val="000000"/>
          <w:kern w:val="0"/>
          <w:sz w:val="32"/>
          <w:szCs w:val="32"/>
          <w:highlight w:val="none"/>
          <w:u w:val="none"/>
          <w:lang w:val="en-US" w:eastAsia="zh-CN"/>
        </w:rPr>
        <w:t>办理。</w:t>
      </w:r>
      <w:r>
        <w:rPr>
          <w:rFonts w:hint="eastAsia" w:ascii="仿宋_GB2312" w:hAnsi="仿宋_GB2312" w:eastAsia="仿宋_GB2312" w:cs="仿宋_GB2312"/>
          <w:b/>
          <w:bCs/>
          <w:color w:val="auto"/>
          <w:kern w:val="2"/>
          <w:sz w:val="32"/>
          <w:szCs w:val="32"/>
          <w:highlight w:val="none"/>
          <w:lang w:val="en-US" w:eastAsia="zh-CN" w:bidi="ar-SA"/>
        </w:rPr>
        <w:t>四是持续推进普法宣传</w:t>
      </w:r>
      <w:r>
        <w:rPr>
          <w:rFonts w:hint="default" w:ascii="仿宋_GB2312" w:hAnsi="仿宋_GB2312" w:eastAsia="仿宋_GB2312" w:cs="仿宋_GB2312"/>
          <w:b/>
          <w:bCs/>
          <w:color w:val="auto"/>
          <w:kern w:val="2"/>
          <w:sz w:val="32"/>
          <w:szCs w:val="32"/>
          <w:highlight w:val="none"/>
          <w:lang w:val="en-US" w:eastAsia="zh-CN" w:bidi="ar-SA"/>
        </w:rPr>
        <w:t>教育</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 w:hAnsi="仿宋" w:eastAsia="仿宋" w:cs="仿宋"/>
          <w:i w:val="0"/>
          <w:iCs w:val="0"/>
          <w:caps w:val="0"/>
          <w:color w:val="000000"/>
          <w:spacing w:val="0"/>
          <w:sz w:val="32"/>
          <w:szCs w:val="32"/>
          <w:highlight w:val="none"/>
          <w:shd w:val="clear" w:color="auto" w:fill="FFFFFF"/>
          <w:lang w:val="en-US" w:eastAsia="zh-CN"/>
        </w:rPr>
        <w:t>坚持将普法宣传教育融入日常行政执法全过程，在开展行政执法检查、行政处罚的过程中同步宣传住建行业各类法律法规，组织开展工程创优及质量监督常见质量问题分析、福建省房屋使用安全管理条例</w:t>
      </w:r>
      <w:r>
        <w:rPr>
          <w:rFonts w:hint="eastAsia" w:ascii="Times New Roman" w:hAnsi="Times New Roman" w:eastAsia="仿宋_GB2312" w:cs="仿宋_GB2312"/>
          <w:spacing w:val="-6"/>
          <w:sz w:val="32"/>
          <w:szCs w:val="32"/>
          <w:highlight w:val="none"/>
          <w:u w:val="none"/>
          <w:lang w:eastAsia="zh-CN"/>
        </w:rPr>
        <w:t>等</w:t>
      </w:r>
      <w:r>
        <w:rPr>
          <w:rFonts w:hint="eastAsia" w:eastAsia="仿宋_GB2312" w:cs="仿宋_GB2312"/>
          <w:spacing w:val="-6"/>
          <w:sz w:val="32"/>
          <w:szCs w:val="32"/>
          <w:highlight w:val="none"/>
          <w:u w:val="none"/>
          <w:lang w:val="en-US" w:eastAsia="zh-CN"/>
        </w:rPr>
        <w:t>10</w:t>
      </w:r>
      <w:r>
        <w:rPr>
          <w:rFonts w:hint="eastAsia" w:ascii="Times New Roman" w:hAnsi="Times New Roman" w:eastAsia="仿宋_GB2312" w:cs="仿宋_GB2312"/>
          <w:spacing w:val="-6"/>
          <w:sz w:val="32"/>
          <w:szCs w:val="32"/>
          <w:highlight w:val="none"/>
          <w:u w:val="none"/>
          <w:lang w:val="en-US" w:eastAsia="zh-CN"/>
        </w:rPr>
        <w:t>场专题培训，</w:t>
      </w:r>
      <w:r>
        <w:rPr>
          <w:rFonts w:hint="eastAsia" w:ascii="仿宋" w:hAnsi="仿宋" w:eastAsia="仿宋" w:cs="仿宋"/>
          <w:i w:val="0"/>
          <w:iCs w:val="0"/>
          <w:caps w:val="0"/>
          <w:color w:val="000000"/>
          <w:spacing w:val="0"/>
          <w:sz w:val="32"/>
          <w:szCs w:val="32"/>
          <w:highlight w:val="none"/>
          <w:shd w:val="clear" w:color="auto" w:fill="FFFFFF"/>
          <w:lang w:val="en-US" w:eastAsia="zh-CN"/>
        </w:rPr>
        <w:t>结合每季度建设工程质量安全形势分析会开展工程建设法律法规宣传，通报典型案例6起，提升行业从业人员守法意识。</w:t>
      </w:r>
    </w:p>
    <w:p w14:paraId="3F114D81">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（四）提升行政决策法治化水平。</w:t>
      </w:r>
      <w:r>
        <w:rPr>
          <w:rFonts w:hint="eastAsia" w:ascii="仿宋_GB2312" w:hAnsi="仿宋_GB2312" w:eastAsia="仿宋_GB2312" w:cs="仿宋_GB2312"/>
          <w:b/>
          <w:bCs/>
          <w:color w:val="auto"/>
          <w:kern w:val="2"/>
          <w:sz w:val="32"/>
          <w:szCs w:val="32"/>
          <w:highlight w:val="none"/>
          <w:lang w:val="en-US" w:eastAsia="zh-CN" w:bidi="ar-SA"/>
        </w:rPr>
        <w:t>一是严格落实重大行政决策制度。</w:t>
      </w:r>
      <w:r>
        <w:rPr>
          <w:rFonts w:hint="eastAsia" w:ascii="仿宋_GB2312" w:hAnsi="仿宋_GB2312" w:eastAsia="仿宋_GB2312" w:cs="仿宋_GB2312"/>
          <w:b w:val="0"/>
          <w:bCs w:val="0"/>
          <w:color w:val="auto"/>
          <w:kern w:val="2"/>
          <w:sz w:val="32"/>
          <w:szCs w:val="32"/>
          <w:highlight w:val="none"/>
          <w:lang w:val="en-US" w:eastAsia="zh-CN" w:bidi="ar-SA"/>
        </w:rPr>
        <w:t>严格执行重大行政决策及“三重一大”事项决策机制，执行重大行政决策集体研究法定程序，促进权力阳光行使。</w:t>
      </w:r>
      <w:r>
        <w:rPr>
          <w:rFonts w:hint="eastAsia" w:ascii="仿宋_GB2312" w:hAnsi="仿宋_GB2312" w:eastAsia="仿宋_GB2312" w:cs="仿宋_GB2312"/>
          <w:b/>
          <w:bCs/>
          <w:color w:val="auto"/>
          <w:kern w:val="2"/>
          <w:sz w:val="32"/>
          <w:szCs w:val="32"/>
          <w:highlight w:val="none"/>
          <w:lang w:val="en-US" w:eastAsia="zh-CN" w:bidi="ar-SA"/>
        </w:rPr>
        <w:t>二是深化政务公开和政务诚信建设。</w:t>
      </w:r>
      <w:r>
        <w:rPr>
          <w:rFonts w:hint="eastAsia" w:ascii="仿宋_GB2312" w:hAnsi="仿宋_GB2312" w:eastAsia="仿宋_GB2312" w:cs="仿宋_GB2312"/>
          <w:b w:val="0"/>
          <w:bCs w:val="0"/>
          <w:color w:val="auto"/>
          <w:kern w:val="2"/>
          <w:sz w:val="32"/>
          <w:szCs w:val="32"/>
          <w:highlight w:val="none"/>
          <w:lang w:val="en-US" w:eastAsia="zh-CN" w:bidi="ar-SA"/>
        </w:rPr>
        <w:t>依托晋江市人民政府网站等载体，深入推进信息公开制度，坚持把政府信息公开工作作为加强党风廉政、规范行业作风、促进依法行政的重要举措来抓，及时发布涉及在建工程安全生产等相关文件、保障性住房、农村危房翻建、项目竣工验收备案以及施工许可证核发等民生及重点领域信息，2025年主动公开信息数115条、依申请公开数71条、网上调查2条、民意征集2条。</w:t>
      </w:r>
      <w:r>
        <w:rPr>
          <w:rFonts w:hint="eastAsia" w:ascii="仿宋_GB2312" w:hAnsi="仿宋_GB2312" w:eastAsia="仿宋_GB2312" w:cs="仿宋_GB2312"/>
          <w:b/>
          <w:bCs/>
          <w:color w:val="auto"/>
          <w:kern w:val="2"/>
          <w:sz w:val="32"/>
          <w:szCs w:val="32"/>
          <w:highlight w:val="none"/>
          <w:lang w:val="en-US" w:eastAsia="zh-CN" w:bidi="ar-SA"/>
        </w:rPr>
        <w:t>三是发挥法律顾问作用。</w:t>
      </w:r>
      <w:r>
        <w:rPr>
          <w:rFonts w:hint="eastAsia" w:ascii="仿宋_GB2312" w:hAnsi="仿宋_GB2312" w:eastAsia="仿宋_GB2312" w:cs="仿宋_GB2312"/>
          <w:b w:val="0"/>
          <w:bCs w:val="0"/>
          <w:color w:val="auto"/>
          <w:kern w:val="2"/>
          <w:sz w:val="32"/>
          <w:szCs w:val="32"/>
          <w:highlight w:val="none"/>
          <w:lang w:val="en-US" w:eastAsia="zh-CN" w:bidi="ar-SA"/>
        </w:rPr>
        <w:t>聘请专业律师事务所为常年法律顾问，在重大行政决策、重大行政处罚、规范性文件制定、合同协议签订、行政争议处置等方面吸纳专业的法律意见和建议，有效防范法律风险。2025年发生行政诉讼案件1起，胜诉率100%</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w:t>
      </w:r>
    </w:p>
    <w:p w14:paraId="351DAD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二、存在问题</w:t>
      </w:r>
    </w:p>
    <w:p w14:paraId="7595641E">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普法宣传的内容和形式仍不够开拓丰富，</w:t>
      </w:r>
      <w:r>
        <w:rPr>
          <w:rFonts w:hint="default" w:ascii="仿宋_GB2312" w:hAnsi="仿宋_GB2312" w:eastAsia="仿宋_GB2312" w:cs="仿宋_GB2312"/>
          <w:b w:val="0"/>
          <w:bCs w:val="0"/>
          <w:color w:val="auto"/>
          <w:kern w:val="2"/>
          <w:sz w:val="32"/>
          <w:szCs w:val="32"/>
          <w:highlight w:val="none"/>
          <w:lang w:val="en-US" w:eastAsia="zh-CN" w:bidi="ar-SA"/>
        </w:rPr>
        <w:t>缺乏喜闻乐见的宣传形式，</w:t>
      </w:r>
      <w:r>
        <w:rPr>
          <w:rFonts w:hint="eastAsia" w:ascii="仿宋_GB2312" w:hAnsi="仿宋_GB2312" w:eastAsia="仿宋_GB2312" w:cs="仿宋_GB2312"/>
          <w:b w:val="0"/>
          <w:bCs w:val="0"/>
          <w:color w:val="auto"/>
          <w:kern w:val="2"/>
          <w:sz w:val="32"/>
          <w:szCs w:val="32"/>
          <w:highlight w:val="none"/>
          <w:lang w:val="en-US" w:eastAsia="zh-CN" w:bidi="ar-SA"/>
        </w:rPr>
        <w:t>在</w:t>
      </w:r>
      <w:r>
        <w:rPr>
          <w:rFonts w:hint="default" w:ascii="仿宋_GB2312" w:hAnsi="仿宋_GB2312" w:eastAsia="仿宋_GB2312" w:cs="仿宋_GB2312"/>
          <w:b w:val="0"/>
          <w:bCs w:val="0"/>
          <w:color w:val="auto"/>
          <w:kern w:val="2"/>
          <w:sz w:val="32"/>
          <w:szCs w:val="32"/>
          <w:highlight w:val="none"/>
          <w:lang w:val="en-US" w:eastAsia="zh-CN" w:bidi="ar-SA"/>
        </w:rPr>
        <w:t>有效调动</w:t>
      </w:r>
      <w:r>
        <w:rPr>
          <w:rFonts w:hint="eastAsia" w:ascii="仿宋_GB2312" w:hAnsi="仿宋_GB2312" w:eastAsia="仿宋_GB2312" w:cs="仿宋_GB2312"/>
          <w:b w:val="0"/>
          <w:bCs w:val="0"/>
          <w:color w:val="auto"/>
          <w:kern w:val="2"/>
          <w:sz w:val="32"/>
          <w:szCs w:val="32"/>
          <w:highlight w:val="none"/>
          <w:lang w:val="en-US" w:eastAsia="zh-CN" w:bidi="ar-SA"/>
        </w:rPr>
        <w:t>行业</w:t>
      </w:r>
      <w:r>
        <w:rPr>
          <w:rFonts w:hint="default" w:ascii="仿宋_GB2312" w:hAnsi="仿宋_GB2312" w:eastAsia="仿宋_GB2312" w:cs="仿宋_GB2312"/>
          <w:b w:val="0"/>
          <w:bCs w:val="0"/>
          <w:color w:val="auto"/>
          <w:kern w:val="2"/>
          <w:sz w:val="32"/>
          <w:szCs w:val="32"/>
          <w:highlight w:val="none"/>
          <w:lang w:val="en-US" w:eastAsia="zh-CN" w:bidi="ar-SA"/>
        </w:rPr>
        <w:t>人员学法积极性</w:t>
      </w:r>
      <w:r>
        <w:rPr>
          <w:rFonts w:hint="eastAsia" w:ascii="仿宋_GB2312" w:hAnsi="仿宋_GB2312" w:eastAsia="仿宋_GB2312" w:cs="仿宋_GB2312"/>
          <w:b w:val="0"/>
          <w:bCs w:val="0"/>
          <w:color w:val="auto"/>
          <w:kern w:val="2"/>
          <w:sz w:val="32"/>
          <w:szCs w:val="32"/>
          <w:highlight w:val="none"/>
          <w:lang w:val="en-US" w:eastAsia="zh-CN" w:bidi="ar-SA"/>
        </w:rPr>
        <w:t>方面有欠缺。</w:t>
      </w:r>
    </w:p>
    <w:p w14:paraId="3BDD9B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三、2026年工作要点</w:t>
      </w:r>
    </w:p>
    <w:p w14:paraId="2EC7B2B6">
      <w:pPr>
        <w:keepNext w:val="0"/>
        <w:keepLines w:val="0"/>
        <w:pageBreakBefore w:val="0"/>
        <w:pBdr>
          <w:bottom w:val="single" w:color="FFFFFF" w:sz="4" w:space="29"/>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lang w:val="en-US" w:eastAsia="zh-CN"/>
        </w:rPr>
        <w:t>2026年，我局将坚持以习近平新时代中国特色社会主义思想为指导，全面贯彻落实党的二十大和二十届历次全会精神，深入贯彻落实习近平法治思想，按照市委市政府关于法治政府建设的工作部署，把法治政府建设放在全局工作中统筹谋划，全力推动法治政府建设工作再上新台阶。</w:t>
      </w:r>
      <w:r>
        <w:rPr>
          <w:rFonts w:hint="eastAsia" w:ascii="仿宋_GB2312" w:hAnsi="仿宋_GB2312" w:eastAsia="仿宋_GB2312" w:cs="仿宋_GB2312"/>
          <w:b/>
          <w:bCs/>
          <w:color w:val="auto"/>
          <w:kern w:val="2"/>
          <w:sz w:val="32"/>
          <w:szCs w:val="32"/>
          <w:highlight w:val="none"/>
          <w:lang w:val="en-US" w:eastAsia="zh-CN" w:bidi="ar-SA"/>
        </w:rPr>
        <w:t>一是筑牢法治思维。</w:t>
      </w:r>
      <w:r>
        <w:rPr>
          <w:rFonts w:hint="eastAsia" w:ascii="仿宋_GB2312" w:hAnsi="仿宋_GB2312" w:eastAsia="仿宋_GB2312" w:cs="仿宋_GB2312"/>
          <w:b w:val="0"/>
          <w:bCs w:val="0"/>
          <w:color w:val="auto"/>
          <w:kern w:val="2"/>
          <w:sz w:val="32"/>
          <w:szCs w:val="32"/>
          <w:highlight w:val="none"/>
          <w:lang w:val="en-US" w:eastAsia="zh-CN" w:bidi="ar-SA"/>
        </w:rPr>
        <w:t>切实</w:t>
      </w:r>
      <w:r>
        <w:rPr>
          <w:rFonts w:hint="eastAsia" w:ascii="仿宋_GB2312" w:hAnsi="仿宋_GB2312" w:eastAsia="仿宋_GB2312" w:cs="仿宋_GB2312"/>
          <w:color w:val="auto"/>
          <w:sz w:val="32"/>
          <w:szCs w:val="32"/>
          <w:highlight w:val="none"/>
          <w:lang w:val="en-US" w:eastAsia="zh-CN"/>
        </w:rPr>
        <w:t>以习近平新时代中国特色社会主义思想为指导，全面贯彻落实党的二十大和二十届历次全会精神，深入贯彻落实习近平法治思想，持续</w:t>
      </w:r>
      <w:r>
        <w:rPr>
          <w:rFonts w:hint="default" w:ascii="仿宋_GB2312" w:hAnsi="仿宋_GB2312" w:eastAsia="仿宋_GB2312" w:cs="仿宋_GB2312"/>
          <w:color w:val="auto"/>
          <w:sz w:val="32"/>
          <w:szCs w:val="32"/>
          <w:highlight w:val="none"/>
          <w:lang w:val="en-US" w:eastAsia="zh-CN"/>
        </w:rPr>
        <w:t>提高依法行政能力</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bCs/>
          <w:color w:val="auto"/>
          <w:sz w:val="32"/>
          <w:szCs w:val="32"/>
          <w:highlight w:val="none"/>
          <w:lang w:val="en-US" w:eastAsia="zh-CN"/>
        </w:rPr>
        <w:t>优化营商环境。</w:t>
      </w:r>
      <w:r>
        <w:rPr>
          <w:rFonts w:hint="eastAsia" w:ascii="仿宋_GB2312" w:hAnsi="仿宋_GB2312" w:eastAsia="仿宋_GB2312" w:cs="仿宋_GB2312"/>
          <w:color w:val="auto"/>
          <w:sz w:val="32"/>
          <w:szCs w:val="32"/>
          <w:highlight w:val="none"/>
          <w:lang w:val="en-US" w:eastAsia="zh-CN"/>
        </w:rPr>
        <w:t>深化“放管服”改革，持续推行“桩基先行”“多证联办”“验登合一”等改革措施，持续优化审批流程，提升行政审批服务效率和水平。</w:t>
      </w:r>
      <w:r>
        <w:rPr>
          <w:rFonts w:hint="eastAsia" w:ascii="仿宋_GB2312" w:hAnsi="仿宋_GB2312" w:eastAsia="仿宋_GB2312" w:cs="仿宋_GB2312"/>
          <w:b/>
          <w:bCs/>
          <w:color w:val="auto"/>
          <w:kern w:val="2"/>
          <w:sz w:val="32"/>
          <w:szCs w:val="32"/>
          <w:highlight w:val="none"/>
          <w:lang w:val="en-US" w:eastAsia="zh-CN" w:bidi="ar-SA"/>
        </w:rPr>
        <w:t>三是健全执法队伍。</w:t>
      </w:r>
      <w:r>
        <w:rPr>
          <w:rFonts w:hint="eastAsia" w:ascii="仿宋_GB2312" w:hAnsi="仿宋_GB2312" w:eastAsia="仿宋_GB2312" w:cs="仿宋_GB2312"/>
          <w:b w:val="0"/>
          <w:bCs w:val="0"/>
          <w:color w:val="auto"/>
          <w:kern w:val="2"/>
          <w:sz w:val="32"/>
          <w:szCs w:val="32"/>
          <w:highlight w:val="none"/>
          <w:u w:val="none"/>
          <w:lang w:val="en-US" w:eastAsia="zh-CN" w:bidi="ar-SA"/>
        </w:rPr>
        <w:t>坚持重视法治素养和法治能力的用人导向，完善机关工作人员学法用法制度，持续强化行政执法人员法治意识，提高依法行政水平。组织符合条件的人员参加行政执法资格考试，进一步提高人员执证比例，充实执法力量。</w:t>
      </w:r>
      <w:r>
        <w:rPr>
          <w:rFonts w:hint="eastAsia" w:ascii="仿宋_GB2312" w:hAnsi="仿宋_GB2312" w:eastAsia="仿宋_GB2312" w:cs="仿宋_GB2312"/>
          <w:b/>
          <w:bCs/>
          <w:color w:val="auto"/>
          <w:kern w:val="2"/>
          <w:sz w:val="32"/>
          <w:szCs w:val="32"/>
          <w:highlight w:val="none"/>
          <w:lang w:val="en-US" w:eastAsia="zh-CN" w:bidi="ar-SA"/>
        </w:rPr>
        <w:t>四是规范行政执法。</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全面运用省一体化大融合执法平台开展行政执法，</w:t>
      </w:r>
      <w:r>
        <w:rPr>
          <w:rFonts w:hint="eastAsia" w:ascii="仿宋_GB2312" w:hAnsi="仿宋_GB2312" w:eastAsia="仿宋_GB2312" w:cs="仿宋_GB2312"/>
          <w:b w:val="0"/>
          <w:bCs w:val="0"/>
          <w:color w:val="auto"/>
          <w:kern w:val="2"/>
          <w:sz w:val="32"/>
          <w:szCs w:val="32"/>
          <w:highlight w:val="none"/>
          <w:u w:val="none"/>
          <w:lang w:val="en-US" w:eastAsia="zh-CN" w:bidi="ar-SA"/>
        </w:rPr>
        <w:t>持续规范涉企行政检查，推行扫码入企，强化差异化监管措施，严厉打击各类违法违规行为，有力规范行业秩序。严格落实行政执法“三项制度”，落实自由裁量标准、包容审慎执法制度，严把立案、调查、告知、决定、送达各环节，规范严谨公正办理行政执法案件。</w:t>
      </w:r>
      <w:r>
        <w:rPr>
          <w:rFonts w:hint="eastAsia" w:ascii="仿宋_GB2312" w:hAnsi="仿宋_GB2312" w:eastAsia="仿宋_GB2312" w:cs="仿宋_GB2312"/>
          <w:b/>
          <w:bCs/>
          <w:color w:val="auto"/>
          <w:kern w:val="2"/>
          <w:sz w:val="32"/>
          <w:szCs w:val="32"/>
          <w:highlight w:val="none"/>
          <w:lang w:val="en-US" w:eastAsia="zh-CN" w:bidi="ar-SA"/>
        </w:rPr>
        <w:t>五是加强宣传普法。</w:t>
      </w:r>
      <w:r>
        <w:rPr>
          <w:rFonts w:hint="eastAsia" w:ascii="仿宋_GB2312" w:hAnsi="仿宋_GB2312" w:eastAsia="仿宋_GB2312" w:cs="仿宋_GB2312"/>
          <w:b w:val="0"/>
          <w:bCs w:val="0"/>
          <w:color w:val="auto"/>
          <w:kern w:val="2"/>
          <w:sz w:val="32"/>
          <w:szCs w:val="32"/>
          <w:highlight w:val="none"/>
          <w:u w:val="none"/>
          <w:lang w:val="en-US" w:eastAsia="zh-CN" w:bidi="ar-SA"/>
        </w:rPr>
        <w:t>积极运用网站、微信公众号、宣传册、电子显示屏等多种渠道开展普法活动，探索贴近企业群众生产生活的宣传方式，努力提升普法效果，营造良好法治环境。</w:t>
      </w:r>
    </w:p>
    <w:p w14:paraId="1045E142">
      <w:pPr>
        <w:pStyle w:val="6"/>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36665949">
      <w:pPr>
        <w:pStyle w:val="5"/>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0D837D49">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3E0E92F9">
      <w:pPr>
        <w:pStyle w:val="6"/>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1049599">
      <w:pPr>
        <w:pStyle w:val="6"/>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晋江市住房和城乡建设局</w:t>
      </w:r>
    </w:p>
    <w:p w14:paraId="2D14A580">
      <w:pPr>
        <w:pStyle w:val="6"/>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2026年1月22日</w:t>
      </w:r>
    </w:p>
    <w:p w14:paraId="6CA390ED">
      <w:pPr>
        <w:pStyle w:val="6"/>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p>
    <w:p w14:paraId="6CB16EE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eastAsia="仿宋_GB2312"/>
          <w:color w:val="000000"/>
          <w:sz w:val="32"/>
          <w:szCs w:val="32"/>
        </w:rPr>
        <w:t>（联系人：</w:t>
      </w:r>
      <w:r>
        <w:rPr>
          <w:rFonts w:hint="eastAsia" w:eastAsia="仿宋_GB2312"/>
          <w:color w:val="000000"/>
          <w:sz w:val="32"/>
          <w:szCs w:val="32"/>
          <w:lang w:eastAsia="zh-CN"/>
        </w:rPr>
        <w:t>张立志</w:t>
      </w:r>
      <w:r>
        <w:rPr>
          <w:rFonts w:eastAsia="仿宋_GB2312"/>
          <w:color w:val="000000"/>
          <w:sz w:val="32"/>
          <w:szCs w:val="32"/>
        </w:rPr>
        <w:t xml:space="preserve">  电话：</w:t>
      </w:r>
      <w:r>
        <w:rPr>
          <w:rFonts w:hint="eastAsia" w:eastAsia="仿宋_GB2312"/>
          <w:color w:val="000000"/>
          <w:sz w:val="32"/>
          <w:szCs w:val="32"/>
          <w:lang w:val="en-US" w:eastAsia="zh-CN"/>
        </w:rPr>
        <w:t>85681189</w:t>
      </w:r>
      <w:r>
        <w:rPr>
          <w:rFonts w:eastAsia="仿宋_GB2312"/>
          <w:color w:val="000000"/>
          <w:sz w:val="32"/>
          <w:szCs w:val="32"/>
        </w:rPr>
        <w:t>）</w:t>
      </w:r>
    </w:p>
    <w:p w14:paraId="3FC11B1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p>
    <w:p w14:paraId="4AE537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p>
    <w:p w14:paraId="2810B6EB">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79B127B1">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419C1AF">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2A63FBEB">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27C907E0">
      <w:pPr>
        <w:keepNext w:val="0"/>
        <w:keepLines w:val="0"/>
        <w:pageBreakBefore w:val="0"/>
        <w:widowControl w:val="0"/>
        <w:kinsoku/>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抄送：中共晋江市委全面依法治市委员会办公室</w:t>
      </w:r>
    </w:p>
    <w:sectPr>
      <w:pgSz w:w="11906" w:h="16838"/>
      <w:pgMar w:top="2211" w:right="1474"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67809"/>
    <w:rsid w:val="027C3466"/>
    <w:rsid w:val="03302249"/>
    <w:rsid w:val="046044B9"/>
    <w:rsid w:val="048F0269"/>
    <w:rsid w:val="04A77B1E"/>
    <w:rsid w:val="05C13966"/>
    <w:rsid w:val="07DB21CB"/>
    <w:rsid w:val="08D51B22"/>
    <w:rsid w:val="0ECC12D9"/>
    <w:rsid w:val="13D47234"/>
    <w:rsid w:val="13FE38DE"/>
    <w:rsid w:val="14302626"/>
    <w:rsid w:val="18506ACF"/>
    <w:rsid w:val="18AE5F51"/>
    <w:rsid w:val="1B707488"/>
    <w:rsid w:val="1C146065"/>
    <w:rsid w:val="1DF90C68"/>
    <w:rsid w:val="1E6645AE"/>
    <w:rsid w:val="1F533A49"/>
    <w:rsid w:val="208E5440"/>
    <w:rsid w:val="226B6C11"/>
    <w:rsid w:val="283C7070"/>
    <w:rsid w:val="2CBD1932"/>
    <w:rsid w:val="2CCA1365"/>
    <w:rsid w:val="2DC1677B"/>
    <w:rsid w:val="2DE33AEA"/>
    <w:rsid w:val="2F6824F8"/>
    <w:rsid w:val="302723B3"/>
    <w:rsid w:val="305C3852"/>
    <w:rsid w:val="32725B2C"/>
    <w:rsid w:val="37117919"/>
    <w:rsid w:val="38D91AE8"/>
    <w:rsid w:val="3A72247D"/>
    <w:rsid w:val="3BDD4120"/>
    <w:rsid w:val="3E42660A"/>
    <w:rsid w:val="3FC01A11"/>
    <w:rsid w:val="40F53889"/>
    <w:rsid w:val="418C651A"/>
    <w:rsid w:val="418D1221"/>
    <w:rsid w:val="43646C26"/>
    <w:rsid w:val="48B13CBF"/>
    <w:rsid w:val="498874F3"/>
    <w:rsid w:val="4CFF2296"/>
    <w:rsid w:val="4D8E4956"/>
    <w:rsid w:val="4E605017"/>
    <w:rsid w:val="4F701847"/>
    <w:rsid w:val="50AF1F6D"/>
    <w:rsid w:val="52733715"/>
    <w:rsid w:val="5890380F"/>
    <w:rsid w:val="5A2A46CB"/>
    <w:rsid w:val="5B6B7A93"/>
    <w:rsid w:val="5BCF72D8"/>
    <w:rsid w:val="5D72222B"/>
    <w:rsid w:val="5F1D65AC"/>
    <w:rsid w:val="5FD55D8D"/>
    <w:rsid w:val="60110E2F"/>
    <w:rsid w:val="6784541A"/>
    <w:rsid w:val="6CF8448A"/>
    <w:rsid w:val="6CFA128D"/>
    <w:rsid w:val="6D0832E2"/>
    <w:rsid w:val="6E6C6542"/>
    <w:rsid w:val="70952156"/>
    <w:rsid w:val="72864630"/>
    <w:rsid w:val="74E27C24"/>
    <w:rsid w:val="77867809"/>
    <w:rsid w:val="7D676C50"/>
    <w:rsid w:val="7F56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style>
  <w:style w:type="paragraph" w:styleId="3">
    <w:name w:val="index 6"/>
    <w:basedOn w:val="1"/>
    <w:next w:val="1"/>
    <w:semiHidden/>
    <w:qFormat/>
    <w:uiPriority w:val="99"/>
    <w:pPr>
      <w:ind w:left="1000" w:leftChars="1000"/>
    </w:pPr>
  </w:style>
  <w:style w:type="paragraph" w:styleId="5">
    <w:name w:val="Normal Indent"/>
    <w:basedOn w:val="1"/>
    <w:next w:val="1"/>
    <w:qFormat/>
    <w:uiPriority w:val="0"/>
    <w:pPr>
      <w:wordWrap w:val="0"/>
      <w:ind w:left="3400"/>
      <w:jc w:val="both"/>
    </w:pPr>
    <w:rPr>
      <w:rFonts w:ascii="Calibri" w:hAnsi="Calibri" w:eastAsia="宋体" w:cs="Times New Roman"/>
      <w:sz w:val="21"/>
      <w:szCs w:val="22"/>
      <w:lang w:val="en-US" w:eastAsia="zh-CN" w:bidi="ar-SA"/>
    </w:rPr>
  </w:style>
  <w:style w:type="paragraph" w:styleId="6">
    <w:name w:val="Balloon Text"/>
    <w:basedOn w:val="1"/>
    <w:semiHidden/>
    <w:qFormat/>
    <w:uiPriority w:val="0"/>
    <w:rPr>
      <w:sz w:val="18"/>
      <w:szCs w:val="18"/>
    </w:rPr>
  </w:style>
  <w:style w:type="paragraph" w:customStyle="1" w:styleId="9">
    <w:name w:val="Body Text First Indent 21"/>
    <w:basedOn w:val="10"/>
    <w:qFormat/>
    <w:uiPriority w:val="0"/>
    <w:pPr>
      <w:ind w:firstLine="420"/>
    </w:pPr>
  </w:style>
  <w:style w:type="paragraph" w:customStyle="1" w:styleId="10">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2806</Words>
  <Characters>2891</Characters>
  <Lines>0</Lines>
  <Paragraphs>0</Paragraphs>
  <TotalTime>4</TotalTime>
  <ScaleCrop>false</ScaleCrop>
  <LinksUpToDate>false</LinksUpToDate>
  <CharactersWithSpaces>2930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2025-02-13T05:25:00Z</dcterms:created>
  <dc:creator>立志</dc:creator>
  <cp:lastModifiedBy>立志</cp:lastModifiedBy>
  <dcterms:modified xsi:type="dcterms:W3CDTF">2026-01-21T03:21:56Z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33295D0D616A46899B7C87B564E4EAF7_11</vt:lpwstr>
  </property>
  <property fmtid="{D5CDD505-2E9C-101B-9397-08002B2CF9AE}" pid="4" name="KSOTemplateDocerSaveRecord">
    <vt:lpwstr>eyJoZGlkIjoiMmUyZDlkYzZiODUyOTgyYzg3OTgwYTI3NDk2MTk1MjIiLCJ1c2VySWQiOiIxMTY3NjY2OTgxIn0=</vt:lpwstr>
  </property>
</Properties>
</file>