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0"/>
        <w:jc w:val="center"/>
        <w:textAlignment w:val="auto"/>
        <w:rPr>
          <w:rFonts w:ascii="方正小标宋简体" w:hAnsi="仿宋" w:eastAsia="方正小标宋简体" w:cstheme="minorBidi"/>
          <w:snapToGrid/>
          <w:kern w:val="2"/>
          <w:sz w:val="44"/>
          <w:szCs w:val="44"/>
        </w:rPr>
      </w:pPr>
      <w:r>
        <w:rPr>
          <w:rFonts w:hint="eastAsia" w:ascii="方正小标宋简体" w:hAnsi="仿宋" w:eastAsia="方正小标宋简体" w:cstheme="minorBidi"/>
          <w:snapToGrid/>
          <w:kern w:val="2"/>
          <w:sz w:val="44"/>
          <w:szCs w:val="44"/>
          <w:lang w:val="en-US" w:eastAsia="zh-CN"/>
        </w:rPr>
        <w:t>2025年</w:t>
      </w:r>
      <w:r>
        <w:rPr>
          <w:rFonts w:hint="eastAsia" w:ascii="方正小标宋简体" w:hAnsi="仿宋" w:eastAsia="方正小标宋简体" w:cstheme="minorBidi"/>
          <w:snapToGrid/>
          <w:kern w:val="2"/>
          <w:sz w:val="44"/>
          <w:szCs w:val="44"/>
          <w:lang w:eastAsia="zh-CN"/>
        </w:rPr>
        <w:t>晋江市</w:t>
      </w:r>
      <w:r>
        <w:rPr>
          <w:rFonts w:hint="eastAsia" w:ascii="方正小标宋简体" w:hAnsi="仿宋" w:eastAsia="方正小标宋简体" w:cstheme="minorBidi"/>
          <w:snapToGrid/>
          <w:kern w:val="2"/>
          <w:sz w:val="44"/>
          <w:szCs w:val="44"/>
        </w:rPr>
        <w:t>地方政府债务情况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592"/>
        <w:textAlignment w:val="auto"/>
        <w:rPr>
          <w:rFonts w:ascii="黑体" w:hAnsi="黑体" w:eastAsia="黑体" w:cs="仿宋"/>
          <w:spacing w:val="-6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592"/>
        <w:textAlignment w:val="auto"/>
        <w:rPr>
          <w:rFonts w:ascii="黑体" w:hAnsi="黑体" w:eastAsia="黑体" w:cs="仿宋"/>
          <w:spacing w:val="-6"/>
        </w:rPr>
      </w:pPr>
      <w:r>
        <w:rPr>
          <w:rFonts w:hint="eastAsia" w:ascii="黑体" w:hAnsi="黑体" w:eastAsia="黑体" w:cs="仿宋"/>
          <w:spacing w:val="-6"/>
        </w:rPr>
        <w:t>一、举借政府债务情况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592"/>
        <w:textAlignment w:val="auto"/>
        <w:rPr>
          <w:rFonts w:ascii="Times New Roman" w:hAnsi="Times New Roman" w:eastAsia="仿宋" w:cs="仿宋"/>
          <w:spacing w:val="-6"/>
        </w:rPr>
      </w:pPr>
      <w:r>
        <w:rPr>
          <w:rFonts w:hint="eastAsia" w:ascii="Times New Roman" w:hAnsi="Times New Roman" w:eastAsia="仿宋" w:cs="仿宋"/>
          <w:spacing w:val="-6"/>
          <w:lang w:val="en-US" w:eastAsia="zh-CN"/>
        </w:rPr>
        <w:t>2025年</w:t>
      </w:r>
      <w:r>
        <w:rPr>
          <w:rFonts w:hint="eastAsia" w:ascii="Times New Roman" w:hAnsi="Times New Roman" w:eastAsia="仿宋" w:cs="仿宋"/>
          <w:spacing w:val="-6"/>
        </w:rPr>
        <w:t>全市新增政府债务限额</w:t>
      </w:r>
      <w:r>
        <w:rPr>
          <w:rFonts w:hint="eastAsia" w:ascii="Times New Roman" w:hAnsi="Times New Roman" w:eastAsia="仿宋" w:cs="仿宋"/>
          <w:spacing w:val="-6"/>
          <w:lang w:val="en-US" w:eastAsia="zh-CN"/>
        </w:rPr>
        <w:t>81.43</w:t>
      </w:r>
      <w:r>
        <w:rPr>
          <w:rFonts w:hint="eastAsia" w:ascii="Times New Roman" w:hAnsi="Times New Roman" w:eastAsia="仿宋" w:cs="仿宋"/>
          <w:spacing w:val="-6"/>
        </w:rPr>
        <w:t>亿元，其中：新增</w:t>
      </w:r>
      <w:r>
        <w:rPr>
          <w:rFonts w:hint="eastAsia" w:ascii="Times New Roman" w:hAnsi="Times New Roman" w:eastAsia="仿宋" w:cs="仿宋"/>
          <w:spacing w:val="-6"/>
          <w:lang w:eastAsia="zh-CN"/>
        </w:rPr>
        <w:t>一般债务限额</w:t>
      </w:r>
      <w:r>
        <w:rPr>
          <w:rFonts w:hint="eastAsia" w:ascii="Times New Roman" w:hAnsi="Times New Roman" w:eastAsia="仿宋" w:cs="仿宋"/>
          <w:spacing w:val="-6"/>
          <w:lang w:val="en-US" w:eastAsia="zh-CN"/>
        </w:rPr>
        <w:t>3.08亿元，新增专项</w:t>
      </w:r>
      <w:r>
        <w:rPr>
          <w:rFonts w:hint="eastAsia" w:ascii="Times New Roman" w:hAnsi="Times New Roman" w:eastAsia="仿宋" w:cs="仿宋"/>
          <w:spacing w:val="-6"/>
        </w:rPr>
        <w:t>债务限额</w:t>
      </w:r>
      <w:r>
        <w:rPr>
          <w:rFonts w:hint="eastAsia" w:ascii="Times New Roman" w:hAnsi="Times New Roman" w:eastAsia="仿宋" w:cs="仿宋"/>
          <w:spacing w:val="-6"/>
          <w:lang w:val="en-US" w:eastAsia="zh-CN"/>
        </w:rPr>
        <w:t>78.35</w:t>
      </w:r>
      <w:r>
        <w:rPr>
          <w:rFonts w:hint="eastAsia" w:ascii="Times New Roman" w:hAnsi="Times New Roman" w:eastAsia="仿宋" w:cs="仿宋"/>
          <w:spacing w:val="-6"/>
        </w:rPr>
        <w:t>亿元。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16" w:firstLineChars="200"/>
        <w:textAlignment w:val="auto"/>
        <w:rPr>
          <w:rFonts w:ascii="黑体" w:hAnsi="黑体" w:eastAsia="黑体" w:cs="仿宋"/>
          <w:spacing w:val="-6"/>
        </w:rPr>
      </w:pPr>
      <w:r>
        <w:rPr>
          <w:rFonts w:hint="eastAsia" w:ascii="黑体" w:hAnsi="黑体" w:eastAsia="黑体" w:cs="仿宋"/>
          <w:spacing w:val="-6"/>
        </w:rPr>
        <w:t>二、地方政府债务限额余额情况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16" w:firstLineChars="200"/>
        <w:textAlignment w:val="auto"/>
        <w:rPr>
          <w:rFonts w:ascii="楷体" w:eastAsia="楷体" w:cs="仿宋"/>
          <w:b/>
          <w:spacing w:val="-6"/>
        </w:rPr>
      </w:pPr>
      <w:r>
        <w:rPr>
          <w:rFonts w:hint="eastAsia" w:ascii="Times New Roman" w:hAnsi="Times New Roman" w:eastAsia="仿宋" w:cs="仿宋"/>
          <w:spacing w:val="-6"/>
          <w:lang w:val="en-US" w:eastAsia="zh-CN"/>
        </w:rPr>
        <w:t>截至2025年底，全市政府债务余额预计执行数578.07亿元，债务余额严格控制在上级核定的限额587.87亿元内（所属地区地方政府债务限额及余额预计执行数详见附表）。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16" w:firstLineChars="200"/>
        <w:textAlignment w:val="auto"/>
        <w:rPr>
          <w:rFonts w:ascii="黑体" w:hAnsi="黑体" w:eastAsia="黑体" w:cs="仿宋"/>
          <w:spacing w:val="-6"/>
        </w:rPr>
      </w:pPr>
      <w:r>
        <w:rPr>
          <w:rFonts w:hint="eastAsia" w:ascii="黑体" w:hAnsi="黑体" w:eastAsia="黑体" w:cs="仿宋"/>
          <w:spacing w:val="-6"/>
        </w:rPr>
        <w:t>三、地方政府债券发行</w:t>
      </w:r>
      <w:r>
        <w:rPr>
          <w:rFonts w:hint="eastAsia" w:ascii="黑体" w:hAnsi="黑体" w:eastAsia="黑体" w:cs="仿宋"/>
          <w:spacing w:val="-6"/>
          <w:lang w:eastAsia="zh-CN"/>
        </w:rPr>
        <w:t>及世行转贷</w:t>
      </w:r>
      <w:r>
        <w:rPr>
          <w:rFonts w:hint="eastAsia" w:ascii="黑体" w:hAnsi="黑体" w:eastAsia="黑体" w:cs="仿宋"/>
          <w:spacing w:val="-6"/>
        </w:rPr>
        <w:t>情况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16" w:firstLineChars="200"/>
        <w:textAlignment w:val="auto"/>
        <w:rPr>
          <w:rFonts w:ascii="仿宋" w:hAnsi="仿宋" w:eastAsia="仿宋" w:cs="仿宋"/>
          <w:spacing w:val="-6"/>
        </w:rPr>
      </w:pPr>
      <w:r>
        <w:rPr>
          <w:rFonts w:hint="eastAsia" w:ascii="Times New Roman" w:hAnsi="Times New Roman" w:eastAsia="仿宋" w:cs="仿宋"/>
          <w:spacing w:val="-6"/>
          <w:lang w:val="en-US" w:eastAsia="zh-CN"/>
        </w:rPr>
        <w:t>2025年全市由省级代为发行地方政府债券98.82亿元，按债券性质分：发行新增债券52.45亿元及特殊再融资债券28.98亿元，发行偿还到期政府债券的再融资债券17.39亿元。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16" w:firstLineChars="200"/>
        <w:textAlignment w:val="auto"/>
        <w:rPr>
          <w:rFonts w:ascii="黑体" w:hAnsi="黑体" w:eastAsia="黑体" w:cs="仿宋"/>
          <w:spacing w:val="-6"/>
        </w:rPr>
      </w:pPr>
      <w:r>
        <w:rPr>
          <w:rFonts w:hint="eastAsia" w:ascii="黑体" w:hAnsi="黑体" w:eastAsia="黑体" w:cs="仿宋"/>
          <w:spacing w:val="-6"/>
        </w:rPr>
        <w:t>四、地方政府债券还本付息情况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16" w:firstLineChars="200"/>
        <w:textAlignment w:val="auto"/>
        <w:rPr>
          <w:rFonts w:ascii="仿宋" w:hAnsi="仿宋" w:eastAsia="仿宋" w:cs="仿宋"/>
          <w:spacing w:val="-6"/>
        </w:rPr>
      </w:pPr>
      <w:r>
        <w:rPr>
          <w:rFonts w:hint="eastAsia" w:ascii="Times New Roman" w:hAnsi="Times New Roman" w:eastAsia="仿宋" w:cs="仿宋"/>
          <w:spacing w:val="-6"/>
          <w:lang w:val="en-US" w:eastAsia="zh-CN"/>
        </w:rPr>
        <w:t>2025</w:t>
      </w:r>
      <w:r>
        <w:rPr>
          <w:rFonts w:hint="eastAsia" w:ascii="仿宋" w:hAnsi="仿宋" w:eastAsia="仿宋" w:cs="仿宋"/>
          <w:spacing w:val="-6"/>
          <w:lang w:val="en-US" w:eastAsia="zh-CN"/>
        </w:rPr>
        <w:t>年</w:t>
      </w:r>
      <w:r>
        <w:rPr>
          <w:rFonts w:hint="eastAsia" w:ascii="仿宋" w:hAnsi="仿宋" w:eastAsia="仿宋" w:cs="仿宋"/>
          <w:spacing w:val="-6"/>
        </w:rPr>
        <w:t>全市地方政府债券还本付息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35.2</w:t>
      </w:r>
      <w:r>
        <w:rPr>
          <w:rFonts w:hint="eastAsia" w:ascii="仿宋" w:hAnsi="仿宋" w:eastAsia="仿宋" w:cs="仿宋"/>
          <w:spacing w:val="-6"/>
        </w:rPr>
        <w:t>亿元。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16" w:firstLineChars="200"/>
        <w:textAlignment w:val="auto"/>
        <w:rPr>
          <w:rFonts w:hint="eastAsia" w:ascii="仿宋" w:hAnsi="仿宋" w:eastAsia="仿宋" w:cs="仿宋"/>
          <w:spacing w:val="-6"/>
        </w:rPr>
      </w:pPr>
      <w:r>
        <w:rPr>
          <w:rFonts w:hint="eastAsia" w:ascii="Times New Roman" w:hAnsi="Times New Roman" w:eastAsia="仿宋" w:cs="仿宋"/>
          <w:spacing w:val="-6"/>
          <w:lang w:val="en-US" w:eastAsia="zh-CN"/>
        </w:rPr>
        <w:t>2026</w:t>
      </w:r>
      <w:r>
        <w:rPr>
          <w:rFonts w:hint="eastAsia" w:ascii="仿宋" w:hAnsi="仿宋" w:eastAsia="仿宋" w:cs="仿宋"/>
          <w:spacing w:val="-6"/>
        </w:rPr>
        <w:t>年全市地方政府债券</w:t>
      </w:r>
      <w:r>
        <w:rPr>
          <w:rFonts w:hint="eastAsia" w:ascii="仿宋" w:hAnsi="仿宋" w:eastAsia="仿宋" w:cs="仿宋"/>
          <w:spacing w:val="-6"/>
          <w:lang w:eastAsia="zh-CN"/>
        </w:rPr>
        <w:t>预计</w:t>
      </w:r>
      <w:r>
        <w:rPr>
          <w:rFonts w:hint="eastAsia" w:ascii="仿宋" w:hAnsi="仿宋" w:eastAsia="仿宋" w:cs="仿宋"/>
          <w:spacing w:val="-6"/>
        </w:rPr>
        <w:t>还本付息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69.77</w:t>
      </w:r>
      <w:r>
        <w:rPr>
          <w:rFonts w:hint="eastAsia" w:ascii="仿宋" w:hAnsi="仿宋" w:eastAsia="仿宋" w:cs="仿宋"/>
          <w:spacing w:val="-6"/>
        </w:rPr>
        <w:t>亿元。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16" w:firstLineChars="200"/>
        <w:textAlignment w:val="auto"/>
        <w:rPr>
          <w:rFonts w:ascii="黑体" w:hAnsi="黑体" w:eastAsia="黑体" w:cs="仿宋"/>
          <w:spacing w:val="-6"/>
        </w:rPr>
      </w:pPr>
      <w:r>
        <w:rPr>
          <w:rFonts w:hint="eastAsia" w:ascii="黑体" w:hAnsi="黑体" w:eastAsia="黑体" w:cs="仿宋"/>
          <w:spacing w:val="-6"/>
        </w:rPr>
        <w:t>五、地方政府债券资金使用安排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202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年发行新增地方</w:t>
      </w:r>
      <w:r>
        <w:rPr>
          <w:rFonts w:hint="default" w:ascii="Times New Roman" w:hAnsi="Times New Roman" w:eastAsia="仿宋" w:cs="Times New Roman"/>
          <w:sz w:val="32"/>
          <w:szCs w:val="32"/>
        </w:rPr>
        <w:t>政府债券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524499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万</w:t>
      </w:r>
      <w:r>
        <w:rPr>
          <w:rFonts w:hint="default" w:ascii="Times New Roman" w:hAnsi="Times New Roman" w:eastAsia="仿宋" w:cs="Times New Roman"/>
          <w:sz w:val="32"/>
          <w:szCs w:val="32"/>
        </w:rPr>
        <w:t>元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。其中：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新增一般债券30760万元，包括教育支出19550万元，用于季延中学罗山校区建设项目12800万元、实验中学扩建项目（道路工程）1800万元、磁灶中学扩容建设工程二期（含边坡工程）1000万元、内坑中学扩建工程一期1000万元、永和中学1#学生宿舍楼建设项目920万元、慎中实验学校实验综合楼建设项目810万元、池店镇崇文小学（第七实验小学崇文校区）建设项目500万元、紫峰中学实验楼扩建工程500万元、安海镇桥头中心小学扩建项目220万元；文化旅游体育与传媒支出600万元，用于少年儿童体育学校建设工程100万元、崎山山地自行车公园建设工程500万元；农林水支出3100万元，用于泉州市蓝色海湾综合整治行动项目（泉州湾海域）1500万元、池店南片区水利工程一期800万元、晋江下游生态整治工程（南岸）500万元、梅溪河道截污干管工程300万元；交通运输支出5910万元，用于池店三大市场周边道路建设项目1500万元、双龙路（侨晖路-环湖路）提升改造工程1400万元、纵二线紫帽塘头至磁灶井边段改造工程1100万元、市域8号路（一期）工程600万元、刺桐大桥-江滨南路节点改造工程500万元、泉安北路中段及南段人行天桥工程500万元、刺桐大桥南引桥及南匝道桥维修加固工程310万元；公共安全支出1100万元，用于反恐防暴训练基地；灾害防治及应急管理支出500万元，用于陈埭镇消防二站建设项目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pacing w:val="-6"/>
          <w:lang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新增专项债券</w:t>
      </w:r>
      <w:r>
        <w:rPr>
          <w:rFonts w:hint="default" w:ascii="Times New Roman" w:hAnsi="Times New Roman" w:eastAsia="仿宋" w:cs="Times New Roman"/>
          <w:spacing w:val="-6"/>
          <w:lang w:val="en-US" w:eastAsia="zh-CN"/>
        </w:rPr>
        <w:t>493739万</w:t>
      </w:r>
      <w:r>
        <w:rPr>
          <w:rFonts w:hint="default" w:ascii="Times New Roman" w:hAnsi="Times New Roman" w:eastAsia="仿宋" w:cs="Times New Roman"/>
          <w:spacing w:val="-6"/>
        </w:rPr>
        <w:t>元</w:t>
      </w:r>
      <w:r>
        <w:rPr>
          <w:rFonts w:hint="default" w:ascii="Times New Roman" w:hAnsi="Times New Roman" w:eastAsia="仿宋" w:cs="Times New Roman"/>
          <w:spacing w:val="-6"/>
          <w:lang w:eastAsia="zh-CN"/>
        </w:rPr>
        <w:t>，其中</w:t>
      </w:r>
      <w:r>
        <w:rPr>
          <w:rFonts w:hint="default" w:ascii="Times New Roman" w:hAnsi="Times New Roman" w:eastAsia="仿宋" w:cs="Times New Roman"/>
          <w:spacing w:val="-6"/>
          <w:lang w:val="en-US" w:eastAsia="zh-CN"/>
        </w:rPr>
        <w:t>390070万元为项目建设资金，</w:t>
      </w:r>
      <w:r>
        <w:rPr>
          <w:rFonts w:hint="default" w:ascii="Times New Roman" w:hAnsi="Times New Roman" w:eastAsia="仿宋" w:cs="Times New Roman"/>
          <w:spacing w:val="-6"/>
          <w:lang w:eastAsia="zh-CN"/>
        </w:rPr>
        <w:t>用于</w:t>
      </w:r>
      <w:r>
        <w:rPr>
          <w:rFonts w:hint="default" w:ascii="Times New Roman" w:hAnsi="Times New Roman" w:eastAsia="仿宋" w:cs="Times New Roman"/>
          <w:spacing w:val="-6"/>
          <w:lang w:val="en-US" w:eastAsia="zh-CN"/>
        </w:rPr>
        <w:t>晋东鞋服产业园基础设施及配套项目60000万元、智能装备工业园（安海）基础设施及配套工程45500万元、泉州南站站前广场及市政配套工程40500万元、晋江经济开发区标准厂房与基础配套设施（二期）项目40000万元、科创新区产业园基础设施及配套项目36000万元、集成电路产业园区（工业园）基础设施工程23500万元、航空物流产业园基础设施及配套工程20000万元、泉州国家高新区（晋江）智能制造装备产业园与基础设施建设项目20000万元、英林镇纺织服装微产业园基础设施建设项目16000万元、内坑品牌工业城基础设施及配套设施工程15400万元、城乡生活污水处理工程12075万元、南岸城乡交通物流综合提升项目8250万元、学前教育提升二期工程7655万元、泉州至厦门至漳州城际铁路R1线（泉州段）6500万元、城镇污水收集处理一体化提升工程6000万元、晋南片区城乡供水一体化工程6000万元、金门供水水源保障工程5000万元、泉州综保区加工制造标准厂房与配套设施项目5000万元、市医院晋中分院4400万元、学前教育提升一期工程3000万元、臻安殡仪及配套设施2500万元、应急医疗救助提升项目2340万元、晋北片区综合交通枢纽及配套工程1800万元、公共卫生能力提升工程项目1000万元、西滨镇农产品冷链集散中心建设项目750万元、磁灶农产品批发市场及配套基础设施建设项目500万元、市医院（上海市第六人民医院福建医院）和敏院区能力提升工程400万元；剩余38273万元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用于存量政府投资项目</w:t>
      </w:r>
      <w:r>
        <w:rPr>
          <w:rFonts w:hint="default" w:ascii="Times New Roman" w:hAnsi="Times New Roman" w:eastAsia="仿宋" w:cs="Times New Roman"/>
          <w:spacing w:val="-6"/>
          <w:lang w:val="en-US" w:eastAsia="zh-CN"/>
        </w:rPr>
        <w:t>，19000万元用于收回存量闲置土地，46396万元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用于补充政府性基金财力</w:t>
      </w:r>
      <w:r>
        <w:rPr>
          <w:rFonts w:hint="default" w:ascii="Times New Roman" w:hAnsi="Times New Roman" w:eastAsia="仿宋" w:cs="Times New Roman"/>
          <w:spacing w:val="-6"/>
          <w:lang w:eastAsia="zh-CN"/>
        </w:rPr>
        <w:t>。</w:t>
      </w:r>
      <w:bookmarkStart w:id="0" w:name="_GoBack"/>
      <w:bookmarkEnd w:id="0"/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16" w:firstLineChars="200"/>
        <w:textAlignment w:val="auto"/>
        <w:rPr>
          <w:rFonts w:hint="eastAsia" w:ascii="仿宋" w:hAnsi="仿宋" w:eastAsia="仿宋" w:cs="仿宋"/>
          <w:spacing w:val="-6"/>
          <w:lang w:eastAsia="zh-CN"/>
        </w:rPr>
      </w:pPr>
    </w:p>
    <w:sectPr>
      <w:footerReference r:id="rId3" w:type="default"/>
      <w:pgSz w:w="11906" w:h="16838"/>
      <w:pgMar w:top="1440" w:right="1558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367757753"/>
      <w:docPartObj>
        <w:docPartGallery w:val="autotext"/>
      </w:docPartObj>
    </w:sdtPr>
    <w:sdtContent>
      <w:p>
        <w:pPr>
          <w:pStyle w:val="3"/>
          <w:jc w:val="center"/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D5E"/>
    <w:rsid w:val="0020395D"/>
    <w:rsid w:val="0021505E"/>
    <w:rsid w:val="003871CA"/>
    <w:rsid w:val="00821DB7"/>
    <w:rsid w:val="00951604"/>
    <w:rsid w:val="009F6D5E"/>
    <w:rsid w:val="00BB5989"/>
    <w:rsid w:val="01BA7586"/>
    <w:rsid w:val="035615F2"/>
    <w:rsid w:val="03F41C9C"/>
    <w:rsid w:val="049D3510"/>
    <w:rsid w:val="04DB753F"/>
    <w:rsid w:val="0704410A"/>
    <w:rsid w:val="073938F1"/>
    <w:rsid w:val="0A4A6FCB"/>
    <w:rsid w:val="0A9B3A4F"/>
    <w:rsid w:val="0AD700F3"/>
    <w:rsid w:val="0B8365F9"/>
    <w:rsid w:val="0C2F6D02"/>
    <w:rsid w:val="0CE71DC5"/>
    <w:rsid w:val="0DE608E5"/>
    <w:rsid w:val="102E1712"/>
    <w:rsid w:val="10AB5887"/>
    <w:rsid w:val="133F1F9C"/>
    <w:rsid w:val="13985425"/>
    <w:rsid w:val="13EE1A30"/>
    <w:rsid w:val="141333C0"/>
    <w:rsid w:val="14450F5E"/>
    <w:rsid w:val="14DE210B"/>
    <w:rsid w:val="1603695F"/>
    <w:rsid w:val="16274A2E"/>
    <w:rsid w:val="18AE7EFB"/>
    <w:rsid w:val="1AA40BEE"/>
    <w:rsid w:val="1C4B4699"/>
    <w:rsid w:val="1DD22662"/>
    <w:rsid w:val="1EE472CC"/>
    <w:rsid w:val="1F86741A"/>
    <w:rsid w:val="1FBF1827"/>
    <w:rsid w:val="22086796"/>
    <w:rsid w:val="22360AD0"/>
    <w:rsid w:val="24EE2A73"/>
    <w:rsid w:val="253B00A8"/>
    <w:rsid w:val="26F2757B"/>
    <w:rsid w:val="2ACF029F"/>
    <w:rsid w:val="2AFD42D4"/>
    <w:rsid w:val="2C4C4E1D"/>
    <w:rsid w:val="2CF1280A"/>
    <w:rsid w:val="3148472A"/>
    <w:rsid w:val="327B4D0F"/>
    <w:rsid w:val="329056C3"/>
    <w:rsid w:val="35507295"/>
    <w:rsid w:val="35D372A7"/>
    <w:rsid w:val="36B41AE9"/>
    <w:rsid w:val="38D168A4"/>
    <w:rsid w:val="39C933B3"/>
    <w:rsid w:val="3A3A1219"/>
    <w:rsid w:val="3ADB4583"/>
    <w:rsid w:val="3C49646F"/>
    <w:rsid w:val="3FEE407D"/>
    <w:rsid w:val="402324AB"/>
    <w:rsid w:val="406E481A"/>
    <w:rsid w:val="406F1FE9"/>
    <w:rsid w:val="40A45364"/>
    <w:rsid w:val="41842B0E"/>
    <w:rsid w:val="43C913CD"/>
    <w:rsid w:val="44FE474E"/>
    <w:rsid w:val="45995E94"/>
    <w:rsid w:val="46AB4202"/>
    <w:rsid w:val="46F47497"/>
    <w:rsid w:val="47EE42BD"/>
    <w:rsid w:val="482B09AC"/>
    <w:rsid w:val="48A37BE1"/>
    <w:rsid w:val="49BF367D"/>
    <w:rsid w:val="49D16EC4"/>
    <w:rsid w:val="4ADD5677"/>
    <w:rsid w:val="4AEE2832"/>
    <w:rsid w:val="4B172959"/>
    <w:rsid w:val="4B453CB8"/>
    <w:rsid w:val="4BDC01AF"/>
    <w:rsid w:val="4CBC7599"/>
    <w:rsid w:val="500B4595"/>
    <w:rsid w:val="50985633"/>
    <w:rsid w:val="51CB26C8"/>
    <w:rsid w:val="554551DA"/>
    <w:rsid w:val="55613E99"/>
    <w:rsid w:val="556A2D65"/>
    <w:rsid w:val="568523A2"/>
    <w:rsid w:val="5797038C"/>
    <w:rsid w:val="58B32018"/>
    <w:rsid w:val="59883D45"/>
    <w:rsid w:val="5A371602"/>
    <w:rsid w:val="5A662B25"/>
    <w:rsid w:val="5C914315"/>
    <w:rsid w:val="5C9318FF"/>
    <w:rsid w:val="5E1B497B"/>
    <w:rsid w:val="5EEF7288"/>
    <w:rsid w:val="5FB10BEB"/>
    <w:rsid w:val="5FF33E32"/>
    <w:rsid w:val="61BB54C2"/>
    <w:rsid w:val="62887E4E"/>
    <w:rsid w:val="64903995"/>
    <w:rsid w:val="64AA2B39"/>
    <w:rsid w:val="65A50E9E"/>
    <w:rsid w:val="668A59F1"/>
    <w:rsid w:val="672D2E25"/>
    <w:rsid w:val="67944BE3"/>
    <w:rsid w:val="67DB76DC"/>
    <w:rsid w:val="69B97890"/>
    <w:rsid w:val="6BDD7288"/>
    <w:rsid w:val="6E5B0F52"/>
    <w:rsid w:val="6FFE10E6"/>
    <w:rsid w:val="705776E2"/>
    <w:rsid w:val="70983F54"/>
    <w:rsid w:val="70A60EA0"/>
    <w:rsid w:val="70CB10DA"/>
    <w:rsid w:val="72077314"/>
    <w:rsid w:val="73AF081A"/>
    <w:rsid w:val="741B7FE8"/>
    <w:rsid w:val="742F4647"/>
    <w:rsid w:val="74AB707A"/>
    <w:rsid w:val="74D9554D"/>
    <w:rsid w:val="75A26F49"/>
    <w:rsid w:val="777778C7"/>
    <w:rsid w:val="78E21576"/>
    <w:rsid w:val="791A1DBF"/>
    <w:rsid w:val="79846694"/>
    <w:rsid w:val="79BA662B"/>
    <w:rsid w:val="7ADA7D37"/>
    <w:rsid w:val="7C09203B"/>
    <w:rsid w:val="7CB02C74"/>
    <w:rsid w:val="7EAE53CF"/>
    <w:rsid w:val="7F801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内容"/>
    <w:basedOn w:val="1"/>
    <w:qFormat/>
    <w:uiPriority w:val="0"/>
    <w:pPr>
      <w:snapToGrid w:val="0"/>
      <w:spacing w:line="640" w:lineRule="exact"/>
      <w:ind w:firstLine="640"/>
    </w:pPr>
    <w:rPr>
      <w:rFonts w:ascii="Calibri" w:hAnsi="楷体" w:eastAsia="宋体" w:cs="Times New Roman"/>
      <w:snapToGrid w:val="0"/>
      <w:kern w:val="0"/>
      <w:sz w:val="32"/>
      <w:szCs w:val="24"/>
    </w:rPr>
  </w:style>
  <w:style w:type="character" w:customStyle="1" w:styleId="8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224</Words>
  <Characters>304</Characters>
  <Lines>15</Lines>
  <Paragraphs>8</Paragraphs>
  <TotalTime>1</TotalTime>
  <ScaleCrop>false</ScaleCrop>
  <LinksUpToDate>false</LinksUpToDate>
  <CharactersWithSpaces>520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2021-05-31T10:13:00Z</dcterms:created>
  <dc:creator>林凌</dc:creator>
  <cp:lastModifiedBy>Administrator</cp:lastModifiedBy>
  <cp:lastPrinted>2025-02-26T03:22:00Z</cp:lastPrinted>
  <dcterms:modified xsi:type="dcterms:W3CDTF">2026-05-11T08:12:24Z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