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b w:val="0"/>
          <w:bCs w:val="0"/>
          <w:u w:val="none"/>
        </w:rPr>
      </w:pPr>
    </w:p>
    <w:p>
      <w:pPr>
        <w:spacing w:line="540" w:lineRule="exact"/>
        <w:jc w:val="center"/>
        <w:rPr>
          <w:b w:val="0"/>
          <w:bCs w:val="0"/>
          <w:u w:val="none"/>
        </w:rPr>
      </w:pPr>
    </w:p>
    <w:p>
      <w:pPr>
        <w:spacing w:line="540" w:lineRule="exact"/>
        <w:jc w:val="center"/>
        <w:rPr>
          <w:b w:val="0"/>
          <w:bCs w:val="0"/>
          <w:u w:val="none"/>
        </w:rPr>
      </w:pPr>
    </w:p>
    <w:p>
      <w:pPr>
        <w:spacing w:line="540" w:lineRule="exact"/>
        <w:jc w:val="center"/>
        <w:rPr>
          <w:b w:val="0"/>
          <w:bCs w:val="0"/>
          <w:u w:val="none"/>
        </w:rPr>
      </w:pPr>
    </w:p>
    <w:p>
      <w:pPr>
        <w:spacing w:line="540" w:lineRule="exact"/>
        <w:jc w:val="center"/>
        <w:rPr>
          <w:b w:val="0"/>
          <w:bCs w:val="0"/>
          <w:u w:val="none"/>
        </w:rPr>
      </w:pPr>
    </w:p>
    <w:p>
      <w:pPr>
        <w:spacing w:line="540" w:lineRule="exact"/>
        <w:jc w:val="center"/>
        <w:rPr>
          <w:b w:val="0"/>
          <w:bCs w:val="0"/>
          <w:u w:val="none"/>
        </w:rPr>
      </w:pPr>
    </w:p>
    <w:p>
      <w:pPr>
        <w:spacing w:line="540" w:lineRule="exact"/>
        <w:jc w:val="center"/>
        <w:rPr>
          <w:b w:val="0"/>
          <w:bCs w:val="0"/>
          <w:u w:val="none"/>
        </w:rPr>
      </w:pPr>
    </w:p>
    <w:p>
      <w:pPr>
        <w:spacing w:line="56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晋东政〔202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24</w:t>
      </w:r>
      <w:r>
        <w:rPr>
          <w:rFonts w:hint="default" w:ascii="Times New Roman" w:hAnsi="Times New Roman" w:eastAsia="仿宋_GB2312" w:cs="Times New Roman"/>
          <w:sz w:val="32"/>
          <w:szCs w:val="32"/>
        </w:rPr>
        <w:t>号</w:t>
      </w:r>
    </w:p>
    <w:p>
      <w:pPr>
        <w:spacing w:line="560" w:lineRule="exact"/>
        <w:jc w:val="center"/>
      </w:pPr>
    </w:p>
    <w:p>
      <w:pPr>
        <w:spacing w:line="560" w:lineRule="exact"/>
        <w:jc w:val="center"/>
        <w:rPr>
          <w:rFonts w:eastAsia="方正小标宋简体" w:cs="方正小标宋简体"/>
          <w:sz w:val="44"/>
          <w:szCs w:val="52"/>
        </w:rPr>
      </w:pP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lang w:eastAsia="zh-CN"/>
        </w:rPr>
        <w:t>晋江市东石镇</w:t>
      </w:r>
      <w:r>
        <w:rPr>
          <w:rFonts w:hint="eastAsia" w:ascii="方正小标宋简体" w:hAnsi="方正小标宋简体" w:eastAsia="方正小标宋简体" w:cs="方正小标宋简体"/>
          <w:spacing w:val="6"/>
          <w:sz w:val="44"/>
          <w:szCs w:val="44"/>
        </w:rPr>
        <w:t>人民政府关于</w:t>
      </w:r>
      <w:r>
        <w:rPr>
          <w:rFonts w:hint="eastAsia" w:ascii="方正小标宋简体" w:hAnsi="方正小标宋简体" w:eastAsia="方正小标宋简体" w:cs="方正小标宋简体"/>
          <w:spacing w:val="6"/>
          <w:sz w:val="44"/>
          <w:szCs w:val="44"/>
        </w:rPr>
        <w:t>印发</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《东石镇涉毒违法犯罪举报奖励</w:t>
      </w:r>
    </w:p>
    <w:p>
      <w:pPr>
        <w:pStyle w:val="10"/>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暂行规定》的通知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sz w:val="44"/>
          <w:szCs w:val="44"/>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各村（社区）、各有关单位：</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根据泉禁毒委〔2023〕5号文的指示，我镇于2023年被泉州市禁毒委员会认定为毒品问题重点整治地区，为保障我镇能于2024年顺利摘帽，现研究制定《东石镇涉毒违法犯罪举报奖励暂行规定。</w:t>
      </w:r>
    </w:p>
    <w:p>
      <w:pPr>
        <w:keepNext w:val="0"/>
        <w:keepLines w:val="0"/>
        <w:pageBreakBefore w:val="0"/>
        <w:widowControl w:val="0"/>
        <w:kinsoku/>
        <w:wordWrap/>
        <w:overflowPunct/>
        <w:topLinePunct w:val="0"/>
        <w:autoSpaceDE/>
        <w:autoSpaceDN/>
        <w:bidi w:val="0"/>
        <w:adjustRightInd/>
        <w:snapToGrid/>
        <w:spacing w:line="480" w:lineRule="exact"/>
        <w:ind w:firstLine="945" w:firstLineChars="450"/>
        <w:textAlignment w:val="auto"/>
        <w:rPr>
          <w:rFonts w:hint="default" w:ascii="Times New Roman" w:hAnsi="Times New Roman" w:cs="Times New Roman"/>
          <w:snapToGrid w:val="0"/>
        </w:rPr>
      </w:pPr>
    </w:p>
    <w:p>
      <w:pPr>
        <w:keepNext w:val="0"/>
        <w:keepLines w:val="0"/>
        <w:pageBreakBefore w:val="0"/>
        <w:widowControl w:val="0"/>
        <w:kinsoku/>
        <w:wordWrap/>
        <w:overflowPunct/>
        <w:topLinePunct w:val="0"/>
        <w:autoSpaceDE/>
        <w:autoSpaceDN/>
        <w:bidi w:val="0"/>
        <w:adjustRightInd/>
        <w:snapToGrid/>
        <w:spacing w:line="480" w:lineRule="exact"/>
        <w:ind w:firstLine="945" w:firstLineChars="450"/>
        <w:textAlignment w:val="auto"/>
        <w:rPr>
          <w:rFonts w:hint="default" w:ascii="Times New Roman" w:hAnsi="Times New Roman" w:cs="Times New Roman"/>
          <w:snapToGrid w:val="0"/>
        </w:rPr>
      </w:pPr>
    </w:p>
    <w:p>
      <w:pPr>
        <w:pStyle w:val="2"/>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480" w:lineRule="exact"/>
        <w:ind w:firstLine="4640" w:firstLineChars="1450"/>
        <w:textAlignment w:val="auto"/>
        <w:rPr>
          <w:rFonts w:eastAsia="仿宋_GB2312"/>
          <w:snapToGrid w:val="0"/>
          <w:sz w:val="32"/>
          <w:szCs w:val="32"/>
        </w:rPr>
      </w:pPr>
      <w:r>
        <w:rPr>
          <w:rFonts w:eastAsia="仿宋_GB2312"/>
          <w:snapToGrid w:val="0"/>
          <w:sz w:val="32"/>
          <w:szCs w:val="32"/>
        </w:rPr>
        <w:t>晋江市东石镇人民政府</w:t>
      </w:r>
    </w:p>
    <w:p>
      <w:pPr>
        <w:keepNext w:val="0"/>
        <w:keepLines w:val="0"/>
        <w:pageBreakBefore w:val="0"/>
        <w:widowControl w:val="0"/>
        <w:kinsoku/>
        <w:wordWrap/>
        <w:overflowPunct/>
        <w:topLinePunct w:val="0"/>
        <w:autoSpaceDE/>
        <w:autoSpaceDN/>
        <w:bidi w:val="0"/>
        <w:adjustRightInd/>
        <w:snapToGrid/>
        <w:spacing w:before="200" w:line="480" w:lineRule="exact"/>
        <w:jc w:val="left"/>
        <w:textAlignment w:val="auto"/>
        <w:rPr>
          <w:rFonts w:hint="default" w:ascii="Times New Roman" w:hAnsi="Times New Roman" w:eastAsia="仿宋_GB2312" w:cs="Times New Roman"/>
          <w:snapToGrid w:val="0"/>
          <w:sz w:val="32"/>
          <w:szCs w:val="32"/>
        </w:rPr>
      </w:pPr>
      <w:r>
        <w:rPr>
          <w:rFonts w:eastAsia="仿宋_GB2312"/>
          <w:snapToGrid w:val="0"/>
          <w:sz w:val="32"/>
          <w:szCs w:val="32"/>
        </w:rPr>
        <w:t xml:space="preserve">                     </w:t>
      </w:r>
      <w:r>
        <w:rPr>
          <w:rFonts w:hint="eastAsia" w:eastAsia="仿宋_GB2312"/>
          <w:snapToGrid w:val="0"/>
          <w:sz w:val="32"/>
          <w:szCs w:val="32"/>
        </w:rPr>
        <w:t xml:space="preserve"> </w:t>
      </w:r>
      <w:r>
        <w:rPr>
          <w:rFonts w:hint="eastAsia" w:eastAsia="仿宋_GB2312"/>
          <w:snapToGrid w:val="0"/>
          <w:sz w:val="32"/>
          <w:szCs w:val="32"/>
          <w:lang w:val="en-US" w:eastAsia="zh-CN"/>
        </w:rPr>
        <w:t xml:space="preserve">        </w:t>
      </w:r>
      <w:r>
        <w:rPr>
          <w:rFonts w:hint="eastAsia" w:eastAsia="仿宋_GB2312"/>
          <w:snapToGrid w:val="0"/>
          <w:sz w:val="32"/>
          <w:szCs w:val="32"/>
        </w:rPr>
        <w:t xml:space="preserve"> </w:t>
      </w:r>
      <w:r>
        <w:rPr>
          <w:rFonts w:hint="default" w:ascii="Times New Roman" w:hAnsi="Times New Roman" w:eastAsia="仿宋_GB2312" w:cs="Times New Roman"/>
          <w:snapToGrid w:val="0"/>
          <w:sz w:val="32"/>
          <w:szCs w:val="32"/>
        </w:rPr>
        <w:t xml:space="preserve"> 202</w:t>
      </w:r>
      <w:r>
        <w:rPr>
          <w:rFonts w:hint="eastAsia" w:ascii="Times New Roman" w:hAnsi="Times New Roman" w:eastAsia="仿宋_GB2312" w:cs="Times New Roman"/>
          <w:snapToGrid w:val="0"/>
          <w:sz w:val="32"/>
          <w:szCs w:val="32"/>
          <w:lang w:val="en-US" w:eastAsia="zh-CN"/>
        </w:rPr>
        <w:t>4</w:t>
      </w:r>
      <w:r>
        <w:rPr>
          <w:rFonts w:hint="default" w:ascii="Times New Roman" w:hAnsi="Times New Roman" w:eastAsia="仿宋_GB2312" w:cs="Times New Roman"/>
          <w:snapToGrid w:val="0"/>
          <w:sz w:val="32"/>
          <w:szCs w:val="32"/>
        </w:rPr>
        <w:t>年</w:t>
      </w:r>
      <w:r>
        <w:rPr>
          <w:rFonts w:hint="eastAsia" w:ascii="Times New Roman" w:hAnsi="Times New Roman" w:eastAsia="仿宋_GB2312" w:cs="Times New Roman"/>
          <w:snapToGrid w:val="0"/>
          <w:sz w:val="32"/>
          <w:szCs w:val="32"/>
          <w:lang w:val="en-US" w:eastAsia="zh-CN"/>
        </w:rPr>
        <w:t>2</w:t>
      </w:r>
      <w:r>
        <w:rPr>
          <w:rFonts w:hint="default" w:ascii="Times New Roman" w:hAnsi="Times New Roman" w:eastAsia="仿宋_GB2312" w:cs="Times New Roman"/>
          <w:snapToGrid w:val="0"/>
          <w:sz w:val="32"/>
          <w:szCs w:val="32"/>
        </w:rPr>
        <w:t>月</w:t>
      </w:r>
      <w:r>
        <w:rPr>
          <w:rFonts w:hint="eastAsia" w:ascii="Times New Roman" w:hAnsi="Times New Roman" w:eastAsia="仿宋_GB2312" w:cs="Times New Roman"/>
          <w:snapToGrid w:val="0"/>
          <w:sz w:val="32"/>
          <w:szCs w:val="32"/>
          <w:lang w:val="en-US" w:eastAsia="zh-CN"/>
        </w:rPr>
        <w:t>19</w:t>
      </w:r>
      <w:r>
        <w:rPr>
          <w:rFonts w:hint="default" w:ascii="Times New Roman" w:hAnsi="Times New Roman" w:eastAsia="仿宋_GB2312" w:cs="Times New Roman"/>
          <w:snapToGrid w:val="0"/>
          <w:sz w:val="32"/>
          <w:szCs w:val="32"/>
        </w:rPr>
        <w:t>日</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sz w:val="44"/>
          <w:szCs w:val="44"/>
        </w:rPr>
        <w:t>东石镇涉毒违法犯罪举报奖励暂行规定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为奖励举报毒品违法犯罪的有功人员</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以下简称举报人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，建立并规范东石镇举报毒品违法犯罪奖励制度，动员全社会力量共同打击毒品违法犯罪，根据《中华人民共和国禁毒法》、《易制毒化学品管理条例》等有关规定，结合东石镇实际，制定本办法。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第一条　举报人是指以书面材料、电话或者其他形式向东石派出所或东石海防派出所或者镇机关举报本辖区内毒品违法犯罪线索的个人。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本办法所称举报人不包含社会治理办、司法所、派出所、海防所等镇机关职能部门以及在其他公务活动中发现毒品违法犯罪活动的工作人员。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第二条　举报人可到东石派出所、东石海防派出所举报，或通过“</w:t>
      </w:r>
      <w:r>
        <w:rPr>
          <w:rFonts w:hint="default" w:ascii="Times New Roman" w:hAnsi="Times New Roman" w:eastAsia="仿宋_GB2312" w:cs="Times New Roman"/>
          <w:sz w:val="32"/>
          <w:szCs w:val="32"/>
        </w:rPr>
        <w:t>110</w:t>
      </w:r>
      <w:r>
        <w:rPr>
          <w:rFonts w:hint="eastAsia" w:ascii="Times New Roman" w:hAnsi="Times New Roman" w:eastAsia="仿宋_GB2312"/>
          <w:sz w:val="32"/>
          <w:szCs w:val="32"/>
        </w:rPr>
        <w:t>”报警电话、</w:t>
      </w:r>
      <w:r>
        <w:rPr>
          <w:rFonts w:hint="default" w:ascii="Times New Roman" w:hAnsi="Times New Roman" w:eastAsia="仿宋_GB2312" w:cs="Times New Roman"/>
          <w:sz w:val="32"/>
          <w:szCs w:val="32"/>
        </w:rPr>
        <w:t>12110短信报警平</w:t>
      </w:r>
      <w:r>
        <w:rPr>
          <w:rFonts w:hint="eastAsia" w:ascii="Times New Roman" w:hAnsi="Times New Roman" w:eastAsia="仿宋_GB2312"/>
          <w:sz w:val="32"/>
          <w:szCs w:val="32"/>
        </w:rPr>
        <w:t>台以及信件、电子邮件等方式举报。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第三条　本办法适用于对法律规定的各类毒品违法犯罪活动或线索的举报。其中，举报人举报公安机关尚未发现或掌握的毒品违法犯罪活动或线索，经查证属实，按下列标准对举报人给予一次性奖励:</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（一）举报吸毒、毒驾或容留他人吸毒的，每顺线查获处理1名吸毒人员奖励2000元，其中依法做出强制隔离戒毒决定的奖励3000元。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（二）举报制造、走私、贩卖、运输以及非法持有冰毒、“摇头丸”、氯胺酮、鸦片、大麻、吗啡、可卡因、杜冷丁、咖啡因等毒品的，</w:t>
      </w:r>
      <w:r>
        <w:rPr>
          <w:rFonts w:hint="eastAsia" w:ascii="Times New Roman" w:hAnsi="Times New Roman" w:eastAsia="仿宋_GB2312"/>
          <w:color w:val="000000"/>
          <w:sz w:val="32"/>
          <w:szCs w:val="32"/>
        </w:rPr>
        <w:t>每提供线索协助破获1起贩毒案件奖励10000元。另外，</w:t>
      </w:r>
      <w:r>
        <w:rPr>
          <w:rFonts w:hint="eastAsia" w:ascii="Times New Roman" w:hAnsi="Times New Roman" w:eastAsia="仿宋_GB2312"/>
          <w:sz w:val="32"/>
          <w:szCs w:val="32"/>
        </w:rPr>
        <w:t>根据缴获毒品量进行奖励</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100克以下，每案奖励3000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人民币，下同</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1000克，每案奖励1万</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5万元</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1000克以上，每案奖励5万</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10万元。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（三）举报走私、非法买卖、生产、运输国家规定管制的易制毒化学品（缴获量以麻黄碱数量为基准，其他按通行公式换算，以检测鉴定为准）的，根据缴获量进行奖励</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缴获第一类管制品种的，缴获量在5千克以下的，每案奖励2000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3000元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5千克以上的，每案奖励3000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3万元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缴获第二类管制品种的，缴获量在200千克以下的，每案奖励1000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2000元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200千克以上的，每案奖励2000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2万元</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缴获第三类管制品种的，缴获量在400千克以下的每案奖励500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1000元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400千克以上的，每案奖励1000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（四）举报非法种植毒品原植物和非法贩卖罂粟壳的，根据铲除毒品原植物数量和缴获罂粟壳数量进行奖励：</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罂粟铲除量在500株以下或大麻5000株以下的，每案奖励500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1000元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罂粟铲除量在500株以上或大麻5000株以上的，每案奖励1000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5000元，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举报非法贩卖罂粟壳，缴获量不满50千克的，每案奖励1000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2000元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缴获量在50千克以上的，每案奖励2000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1万元。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（五）举报公共及娱乐服务场所内吸贩毒品活动的，根据下列情况进行奖励</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在一个场所内一次查获10名以下吸贩毒品人员的，奖励5000至10000元</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在一个场所内一次查获10名以上吸贩毒品人员的，奖励10000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30000元</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查明公共及娱乐服务场所及其从业人员贩卖、提供毒品，或者组织、强迫、教唆、引诱、欺骗、容留他人吸食、注射毒品的，每案奖励5000</w:t>
      </w:r>
      <w:r>
        <w:rPr>
          <w:rFonts w:hint="eastAsia" w:ascii="仿宋_GB2312" w:hAnsi="仿宋_GB2312" w:eastAsia="仿宋_GB2312" w:cs="仿宋_GB2312"/>
          <w:sz w:val="32"/>
          <w:szCs w:val="32"/>
        </w:rPr>
        <w:t>-</w:t>
      </w:r>
      <w:r>
        <w:rPr>
          <w:rFonts w:hint="eastAsia" w:ascii="Times New Roman" w:hAnsi="Times New Roman" w:eastAsia="仿宋_GB2312"/>
          <w:sz w:val="32"/>
          <w:szCs w:val="32"/>
        </w:rPr>
        <w:t>20000元。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（六）举报其他涉毒违法活动或线索的，根据查证情况在上述奖励幅度内视情进行奖励。</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第四条　举报多条毒品违法犯罪线索的，按照奖励标准累计发放奖励资金；同一线索被多个举报人分别举报的，奖励最先举报人。举报顺序以公安机关受理举报的记录时间为准。如其他举报人提供的情况对查清毒品犯罪确有重要作用的，可以酌情给予奖励。</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第五条　禁毒专项资金列入镇级财政预算。镇财政每年安排50万元预算用于奖励举报毒品违法犯罪的有功人员。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第六条　举报奖励资金的兑现由镇财政负责，涉及经费由综治经费中专项列支。东石派出所和东石海防派出所在查证属实或破案后5个工作日内提出奖励对象和金额，经分管领导审核后，报镇主要负责人审批，并在30个工作日内将奖金发给举报人。举报人直接领取奖金不便或有困难的，须写出委托书连同本人有效身份证件委托他人代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第七条　举报人应当在接到奖励通知后60日内领取奖金，逾期不领取的，视为自动放弃。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第八条　镇、东石派出所和东石海防所牵头负责毒品违法犯罪举报奖励工作；镇财政所要加强对奖励资金的管理，严格执行财经规定，确保专款专用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镇纪委要加强监督，确保各项奖惩措施落实到位，各村（社区）要加大工作宣传，提升本规定知晓率。各有关部门和办案单位要严格为举报人保密，确保举报人的人身财产安全。未经举报人同意，不得以任何方式将举报人姓名、身份、居住地及举报情况等信息公开或泄露，违者依法追究责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第九条　工作人员有下列情形之一的，将提请纪委介入，视情节轻重给予相关处分；构成犯罪的，将移交有关部门，依法追究法律责任：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（一）对举报情况没有认真核实查处致使对不符合奖励条件的举报给予奖励的</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（二）伪造举报材料，伙同或帮助他人冒领奖励的</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sectPr>
          <w:footerReference r:id="rId3" w:type="default"/>
          <w:footerReference r:id="rId4" w:type="even"/>
          <w:pgSz w:w="11906" w:h="16838"/>
          <w:pgMar w:top="2211" w:right="1474" w:bottom="1984" w:left="1644" w:header="851" w:footer="1247" w:gutter="0"/>
          <w:paperSrc/>
          <w:cols w:space="0" w:num="1"/>
          <w:rtlGutter w:val="0"/>
          <w:docGrid w:linePitch="312" w:charSpace="0"/>
        </w:sect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（三）向被举报人通风报信，帮助其逃避查处的</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（四）因工作失职造成失泄密的</w:t>
      </w:r>
      <w:r>
        <w:rPr>
          <w:rFonts w:hint="eastAsia" w:ascii="Times New Roman" w:hAnsi="Times New Roman" w:eastAsia="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（五）利用在职务活动中知悉的毒品违法犯罪情况或线索，通过他人举报的方式骗取奖励的。</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第十条　共同犯罪的犯罪嫌疑人向公安机关供述同案犯毒品违法犯罪事实，在押犯罪嫌疑人或服刑人员揭发他人毒品违法犯罪事实或者提供毒品违法犯罪线索的，不适用本办法。</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第十一条　本办法由东石镇人民政府、东石派出所、东石海防派出所负责</w:t>
      </w:r>
      <w:r>
        <w:rPr>
          <w:rFonts w:hint="eastAsia" w:ascii="Times New Roman" w:hAnsi="Times New Roman" w:eastAsia="仿宋_GB2312"/>
          <w:sz w:val="32"/>
          <w:szCs w:val="32"/>
          <w:lang w:eastAsia="zh-CN"/>
        </w:rPr>
        <w:t>解释</w:t>
      </w:r>
      <w:r>
        <w:rPr>
          <w:rFonts w:hint="eastAsia" w:ascii="Times New Roman" w:hAnsi="Times New Roman" w:eastAsia="仿宋_GB2312"/>
          <w:sz w:val="32"/>
          <w:szCs w:val="32"/>
        </w:rPr>
        <w:t>。</w:t>
      </w: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bookmarkStart w:id="0" w:name="_GoBack"/>
      <w:bookmarkEnd w:id="0"/>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pStyle w:val="2"/>
        <w:rPr>
          <w:rFonts w:hint="eastAsia" w:ascii="Times New Roman" w:hAnsi="Times New Roman" w:eastAsia="仿宋_GB2312"/>
          <w:sz w:val="32"/>
          <w:szCs w:val="32"/>
        </w:rPr>
      </w:pPr>
    </w:p>
    <w:p>
      <w:pPr>
        <w:widowControl/>
        <w:spacing w:line="200" w:lineRule="exact"/>
        <w:jc w:val="left"/>
        <w:rPr>
          <w:rFonts w:hint="default" w:ascii="Times New Roman" w:hAnsi="Times New Roman" w:eastAsia="黑体" w:cs="Times New Roman"/>
          <w:sz w:val="36"/>
          <w:szCs w:val="36"/>
        </w:rPr>
      </w:pPr>
      <w:r>
        <w:rPr>
          <w:rFonts w:hint="default" w:ascii="Times New Roman" w:hAnsi="Times New Roman" w:cs="Times New Roman"/>
          <w:bCs/>
          <w:sz w:val="36"/>
          <w:szCs w:val="36"/>
        </w:rPr>
        <w:t>————————————————————————</w:t>
      </w:r>
    </w:p>
    <w:p>
      <w:pPr>
        <w:keepNext w:val="0"/>
        <w:keepLines w:val="0"/>
        <w:pageBreakBefore w:val="0"/>
        <w:widowControl w:val="0"/>
        <w:kinsoku/>
        <w:wordWrap/>
        <w:overflowPunct/>
        <w:topLinePunct w:val="0"/>
        <w:autoSpaceDE/>
        <w:autoSpaceDN/>
        <w:bidi w:val="0"/>
        <w:adjustRightInd/>
        <w:snapToGrid/>
        <w:spacing w:line="280" w:lineRule="exact"/>
        <w:ind w:firstLine="280" w:firstLineChars="1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晋江市东石镇人民政府</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default" w:ascii="Times New Roman" w:hAnsi="Times New Roman" w:eastAsia="仿宋_GB2312" w:cs="Times New Roman"/>
          <w:sz w:val="28"/>
          <w:szCs w:val="28"/>
        </w:rPr>
        <w:t>202</w:t>
      </w:r>
      <w:r>
        <w:rPr>
          <w:rFonts w:hint="default" w:ascii="Times New Roman" w:hAnsi="Times New Roman"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cs="Times New Roman"/>
          <w:sz w:val="28"/>
          <w:szCs w:val="28"/>
          <w:lang w:val="en-US" w:eastAsia="zh-CN"/>
        </w:rPr>
        <w:t>2</w:t>
      </w:r>
      <w:r>
        <w:rPr>
          <w:rFonts w:hint="default" w:ascii="Times New Roman" w:hAnsi="Times New Roman" w:eastAsia="仿宋_GB2312" w:cs="Times New Roman"/>
          <w:sz w:val="28"/>
          <w:szCs w:val="28"/>
        </w:rPr>
        <w:t>月</w:t>
      </w:r>
      <w:r>
        <w:rPr>
          <w:rFonts w:hint="eastAsia" w:ascii="Times New Roman" w:hAnsi="Times New Roman" w:cs="Times New Roman"/>
          <w:sz w:val="28"/>
          <w:szCs w:val="28"/>
          <w:lang w:val="en-US" w:eastAsia="zh-CN"/>
        </w:rPr>
        <w:t>19</w:t>
      </w:r>
      <w:r>
        <w:rPr>
          <w:rFonts w:hint="default" w:ascii="Times New Roman" w:hAnsi="Times New Roman" w:eastAsia="仿宋_GB2312" w:cs="Times New Roman"/>
          <w:sz w:val="28"/>
          <w:szCs w:val="28"/>
        </w:rPr>
        <w:t>日印发</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仿宋_GB2312"/>
          <w:sz w:val="32"/>
          <w:szCs w:val="32"/>
        </w:rPr>
      </w:pPr>
      <w:r>
        <w:rPr>
          <w:rFonts w:hint="default" w:ascii="Times New Roman" w:hAnsi="Times New Roman" w:cs="Times New Roman"/>
          <w:bCs/>
          <w:sz w:val="36"/>
        </w:rPr>
        <w:t>————————————————————————</w:t>
      </w:r>
    </w:p>
    <w:sectPr>
      <w:footerReference r:id="rId5" w:type="default"/>
      <w:footerReference r:id="rId6" w:type="even"/>
      <w:pgSz w:w="11906" w:h="16838"/>
      <w:pgMar w:top="2211" w:right="1474" w:bottom="1984" w:left="1644" w:header="851" w:footer="1247"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简体">
    <w:altName w:val="楷体_GB2312"/>
    <w:panose1 w:val="00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firstLine="280" w:firstLineChars="100"/>
      <w:jc w:val="right"/>
      <w:rPr>
        <w:rFonts w:hint="eastAsia" w:ascii="宋体" w:hAnsi="宋体" w:eastAsia="宋体" w:cs="宋体"/>
        <w:sz w:val="28"/>
        <w:szCs w:val="28"/>
      </w:rPr>
    </w:pPr>
    <w:r>
      <w:rPr>
        <w:rStyle w:val="13"/>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3</w:t>
    </w:r>
    <w:r>
      <w:rPr>
        <w:rFonts w:hint="eastAsia" w:ascii="宋体" w:hAnsi="宋体" w:eastAsia="宋体" w:cs="宋体"/>
        <w:sz w:val="28"/>
        <w:szCs w:val="28"/>
      </w:rPr>
      <w:fldChar w:fldCharType="end"/>
    </w:r>
    <w:r>
      <w:rPr>
        <w:rStyle w:val="13"/>
        <w:rFonts w:hint="eastAsia" w:ascii="宋体" w:hAnsi="宋体" w:eastAsia="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firstLine="280" w:firstLineChars="100"/>
      <w:jc w:val="both"/>
    </w:pPr>
    <w:r>
      <w:rPr>
        <w:rStyle w:val="13"/>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Style w:val="13"/>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3"/>
        <w:rFonts w:hint="eastAsia" w:ascii="宋体" w:hAnsi="宋体" w:eastAsia="宋体" w:cs="宋体"/>
        <w:sz w:val="28"/>
        <w:szCs w:val="28"/>
      </w:rPr>
      <w:t>3</w:t>
    </w:r>
    <w:r>
      <w:rPr>
        <w:rFonts w:hint="eastAsia" w:ascii="宋体" w:hAnsi="宋体" w:eastAsia="宋体" w:cs="宋体"/>
        <w:sz w:val="28"/>
        <w:szCs w:val="28"/>
      </w:rPr>
      <w:fldChar w:fldCharType="end"/>
    </w:r>
    <w:r>
      <w:rPr>
        <w:rStyle w:val="13"/>
        <w:rFonts w:hint="eastAsia" w:ascii="宋体" w:hAnsi="宋体" w:eastAsia="宋体" w:cs="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firstLine="280" w:firstLineChars="100"/>
      <w:rPr>
        <w:rFonts w:hint="eastAsia"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280" w:firstLine="180" w:firstLineChars="1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210"/>
  <w:drawingGridVerticalSpacing w:val="156"/>
  <w:displayHorizontalDrawingGridEvery w:val="1"/>
  <w:displayVerticalDrawingGridEvery w:val="2"/>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ZDFlZGQ4NGIzZDZkMTI4MDkxMzdhNzBhMDgwODYifQ=="/>
  </w:docVars>
  <w:rsids>
    <w:rsidRoot w:val="00E16A7B"/>
    <w:rsid w:val="00676FF7"/>
    <w:rsid w:val="00E16A7B"/>
    <w:rsid w:val="0CDC4D1A"/>
    <w:rsid w:val="1DF57B56"/>
    <w:rsid w:val="39462087"/>
    <w:rsid w:val="3AC44B7A"/>
    <w:rsid w:val="49573A1D"/>
    <w:rsid w:val="51F441AF"/>
    <w:rsid w:val="53F26779"/>
    <w:rsid w:val="55F40A1E"/>
    <w:rsid w:val="58F0556A"/>
    <w:rsid w:val="61DA69D6"/>
    <w:rsid w:val="79FF3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2"/>
      <w:szCs w:val="20"/>
    </w:rPr>
  </w:style>
  <w:style w:type="paragraph" w:styleId="3">
    <w:name w:val="Normal Indent"/>
    <w:basedOn w:val="1"/>
    <w:next w:val="4"/>
    <w:qFormat/>
    <w:uiPriority w:val="0"/>
    <w:pPr>
      <w:spacing w:line="360" w:lineRule="auto"/>
      <w:ind w:firstLine="420" w:firstLineChars="200"/>
    </w:pPr>
    <w:rPr>
      <w:sz w:val="24"/>
    </w:rPr>
  </w:style>
  <w:style w:type="paragraph" w:styleId="4">
    <w:name w:val="envelope return"/>
    <w:basedOn w:val="1"/>
    <w:qFormat/>
    <w:uiPriority w:val="0"/>
    <w:pPr>
      <w:snapToGrid w:val="0"/>
    </w:pPr>
    <w:rPr>
      <w:rFonts w:ascii="Arial" w:hAnsi="Arial"/>
    </w:rPr>
  </w:style>
  <w:style w:type="paragraph" w:styleId="5">
    <w:name w:val="Body Text Indent"/>
    <w:basedOn w:val="1"/>
    <w:next w:val="3"/>
    <w:qFormat/>
    <w:uiPriority w:val="0"/>
    <w:pPr>
      <w:spacing w:line="580" w:lineRule="exact"/>
      <w:ind w:firstLine="698" w:firstLineChars="218"/>
    </w:pPr>
    <w:rPr>
      <w:rFonts w:ascii="仿宋_GB2312" w:hAnsi="Times New Roman" w:eastAsia="宋体" w:cs="Times New Roman"/>
    </w:rPr>
  </w:style>
  <w:style w:type="paragraph" w:styleId="6">
    <w:name w:val="Balloon Text"/>
    <w:basedOn w:val="1"/>
    <w:link w:val="14"/>
    <w:semiHidden/>
    <w:unhideWhenUsed/>
    <w:qFormat/>
    <w:uiPriority w:val="99"/>
    <w:rPr>
      <w:sz w:val="18"/>
      <w:szCs w:val="18"/>
    </w:rPr>
  </w:style>
  <w:style w:type="paragraph" w:styleId="7">
    <w:name w:val="footer"/>
    <w:basedOn w:val="1"/>
    <w:semiHidden/>
    <w:unhideWhenUsed/>
    <w:uiPriority w:val="99"/>
    <w:pPr>
      <w:tabs>
        <w:tab w:val="center" w:pos="4153"/>
        <w:tab w:val="right" w:pos="8306"/>
      </w:tabs>
      <w:snapToGrid w:val="0"/>
      <w:jc w:val="left"/>
    </w:pPr>
    <w:rPr>
      <w:sz w:val="18"/>
    </w:rPr>
  </w:style>
  <w:style w:type="paragraph" w:styleId="8">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5"/>
    <w:next w:val="1"/>
    <w:qFormat/>
    <w:uiPriority w:val="0"/>
    <w:pPr>
      <w:spacing w:line="600" w:lineRule="exact"/>
      <w:ind w:firstLine="0" w:firstLineChars="0"/>
    </w:pPr>
    <w:rPr>
      <w:rFonts w:ascii="宋体" w:hAnsi="宋体" w:eastAsia="宋体" w:cs="Times New Roman"/>
      <w:szCs w:val="30"/>
    </w:rPr>
  </w:style>
  <w:style w:type="character" w:styleId="13">
    <w:name w:val="page number"/>
    <w:basedOn w:val="12"/>
    <w:qFormat/>
    <w:uiPriority w:val="0"/>
    <w:rPr>
      <w:rFonts w:ascii="Times New Roman" w:hAnsi="Times New Roman" w:eastAsia="宋体" w:cs="Times New Roman"/>
    </w:rPr>
  </w:style>
  <w:style w:type="character" w:customStyle="1" w:styleId="14">
    <w:name w:val="批注框文本 Char"/>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386</Words>
  <Characters>2204</Characters>
  <Lines>18</Lines>
  <Paragraphs>5</Paragraphs>
  <TotalTime>0</TotalTime>
  <ScaleCrop>false</ScaleCrop>
  <LinksUpToDate>false</LinksUpToDate>
  <CharactersWithSpaces>2585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2024-01-11T09:16:00Z</dcterms:created>
  <dc:creator>xbany</dc:creator>
  <cp:lastModifiedBy>Administrator</cp:lastModifiedBy>
  <cp:lastPrinted>2024-04-08T07:31:00Z</cp:lastPrinted>
  <dcterms:modified xsi:type="dcterms:W3CDTF">2024-04-23T07:22:34Z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DB772025426243F68F883AAB623635C2_13</vt:lpwstr>
  </property>
</Properties>
</file>