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u w:val="none"/>
          <w:shd w:val="clear" w:color="auto" w:fill="FFFFFF"/>
          <w:lang w:eastAsia="zh-CN"/>
        </w:rPr>
        <w:t>晋江市</w:t>
      </w:r>
      <w:r>
        <w:rPr>
          <w:rFonts w:hint="eastAsia" w:ascii="方正小标宋简体" w:hAnsi="方正小标宋简体" w:eastAsia="方正小标宋简体" w:cs="方正小标宋简体"/>
          <w:sz w:val="44"/>
          <w:szCs w:val="44"/>
        </w:rPr>
        <w:t>历史文化保护利用</w:t>
      </w:r>
      <w:r>
        <w:rPr>
          <w:rFonts w:hint="eastAsia" w:ascii="方正小标宋简体" w:hAnsi="方正小标宋简体" w:eastAsia="方正小标宋简体" w:cs="方正小标宋简体"/>
          <w:sz w:val="44"/>
          <w:szCs w:val="44"/>
          <w:shd w:val="clear" w:color="auto" w:fill="FFFFFF"/>
        </w:rPr>
        <w:t>工作</w:t>
      </w:r>
    </w:p>
    <w:p>
      <w:pPr>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lang w:val="en-US" w:eastAsia="zh-CN"/>
        </w:rPr>
        <w:t>2024年度</w:t>
      </w:r>
      <w:r>
        <w:rPr>
          <w:rFonts w:hint="eastAsia" w:ascii="方正小标宋简体" w:hAnsi="方正小标宋简体" w:eastAsia="方正小标宋简体" w:cs="方正小标宋简体"/>
          <w:sz w:val="44"/>
          <w:szCs w:val="44"/>
          <w:shd w:val="clear" w:color="auto" w:fill="FFFFFF"/>
        </w:rPr>
        <w:t>动态监测报告</w:t>
      </w:r>
    </w:p>
    <w:p>
      <w:pPr>
        <w:pStyle w:val="17"/>
        <w:pageBreakBefore w:val="0"/>
        <w:widowControl w:val="0"/>
        <w:kinsoku/>
        <w:wordWrap/>
        <w:overflowPunct/>
        <w:topLinePunct w:val="0"/>
        <w:autoSpaceDE/>
        <w:autoSpaceDN/>
        <w:bidi w:val="0"/>
        <w:spacing w:line="560" w:lineRule="exact"/>
        <w:ind w:left="640" w:firstLine="0" w:firstLineChars="0"/>
        <w:textAlignment w:val="auto"/>
        <w:rPr>
          <w:rFonts w:ascii="Times New Roman" w:hAnsi="Times New Roman" w:eastAsia="黑体"/>
          <w:sz w:val="32"/>
          <w:szCs w:val="32"/>
        </w:rPr>
      </w:pPr>
    </w:p>
    <w:p>
      <w:pPr>
        <w:pStyle w:val="17"/>
        <w:pageBreakBefore w:val="0"/>
        <w:widowControl w:val="0"/>
        <w:numPr>
          <w:ilvl w:val="0"/>
          <w:numId w:val="1"/>
        </w:numPr>
        <w:kinsoku/>
        <w:wordWrap/>
        <w:overflowPunct/>
        <w:topLinePunct w:val="0"/>
        <w:autoSpaceDE/>
        <w:autoSpaceDN/>
        <w:bidi w:val="0"/>
        <w:spacing w:line="560" w:lineRule="exact"/>
        <w:ind w:firstLine="640"/>
        <w:textAlignment w:val="auto"/>
        <w:rPr>
          <w:rFonts w:ascii="Times New Roman" w:hAnsi="Times New Roman" w:eastAsia="黑体"/>
          <w:sz w:val="32"/>
          <w:szCs w:val="32"/>
        </w:rPr>
      </w:pPr>
      <w:r>
        <w:rPr>
          <w:rFonts w:ascii="Times New Roman" w:hAnsi="Times New Roman" w:eastAsia="黑体"/>
          <w:sz w:val="32"/>
          <w:szCs w:val="32"/>
        </w:rPr>
        <w:t>总体概况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rPr>
        <w:t>目前，我市已有省级历史文化街区1个（五店市），国家级历史文化名镇1个（安海镇）、名村2个（福全村、福林村），省级历史文化名村1个（围头村），国家级传统村落</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个（福全村、围头村、塘东村、南浔村、福林村、瑶前村、檗谷村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灵水社区、梧林社区）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已认定公布</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批历史建筑共有29</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认定公布一批传统风貌建筑共有10处</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val="en-US" w:eastAsia="zh-CN"/>
        </w:rPr>
        <w:t>各级文物保护单位153处（179个点），其中国保单位9处（13个点）、省保单位15处（31个点）、市级文保单位129处（135个点），尚未核定公布为文物保护单位440处。各级非物质文化遗产代表性项目80项，其中联合国教科文组织4项、国家级7项、省级6项、泉州市级24项、晋江市级39项。各级非物质文化遗产代表性项目代表性传承人187人，其中国家级4人、省级13人、泉州市级35人、晋江市级135人。</w:t>
      </w:r>
    </w:p>
    <w:p>
      <w:pPr>
        <w:pStyle w:val="17"/>
        <w:pageBreakBefore w:val="0"/>
        <w:widowControl w:val="0"/>
        <w:kinsoku/>
        <w:wordWrap/>
        <w:overflowPunct/>
        <w:topLinePunct w:val="0"/>
        <w:autoSpaceDE/>
        <w:autoSpaceDN/>
        <w:bidi w:val="0"/>
        <w:spacing w:line="560" w:lineRule="exact"/>
        <w:ind w:firstLine="640"/>
        <w:textAlignment w:val="auto"/>
        <w:rPr>
          <w:rFonts w:ascii="Times New Roman" w:hAnsi="Times New Roman" w:eastAsia="黑体"/>
          <w:sz w:val="32"/>
          <w:szCs w:val="32"/>
        </w:rPr>
      </w:pPr>
      <w:r>
        <w:rPr>
          <w:rFonts w:ascii="Times New Roman" w:hAnsi="Times New Roman" w:eastAsia="黑体"/>
          <w:sz w:val="32"/>
          <w:szCs w:val="32"/>
        </w:rPr>
        <w:t>二、监测内容</w:t>
      </w:r>
    </w:p>
    <w:p>
      <w:pPr>
        <w:pageBreakBefore w:val="0"/>
        <w:widowControl w:val="0"/>
        <w:kinsoku/>
        <w:wordWrap/>
        <w:overflowPunct/>
        <w:topLinePunct w:val="0"/>
        <w:autoSpaceDE/>
        <w:autoSpaceDN/>
        <w:bidi w:val="0"/>
        <w:spacing w:line="560" w:lineRule="exact"/>
        <w:ind w:firstLine="643" w:firstLineChars="200"/>
        <w:textAlignment w:val="auto"/>
        <w:rPr>
          <w:rFonts w:ascii="楷体" w:hAnsi="楷体" w:eastAsia="楷体"/>
          <w:b/>
          <w:sz w:val="32"/>
          <w:szCs w:val="32"/>
        </w:rPr>
      </w:pPr>
      <w:r>
        <w:rPr>
          <w:rFonts w:ascii="楷体" w:hAnsi="楷体" w:eastAsia="楷体"/>
          <w:b/>
          <w:sz w:val="32"/>
          <w:szCs w:val="32"/>
        </w:rPr>
        <w:t>（一）相关中央、省级文件精神落实情况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我市积极落实上级文件精神，</w:t>
      </w:r>
      <w:r>
        <w:rPr>
          <w:rFonts w:hint="eastAsia" w:ascii="仿宋_GB2312" w:hAnsi="仿宋_GB2312" w:eastAsia="仿宋_GB2312" w:cs="仿宋_GB2312"/>
          <w:sz w:val="32"/>
          <w:szCs w:val="32"/>
        </w:rPr>
        <w:t>先后成立了历史建筑风貌保护管理工作领导小组、传统村落集中连片保护利用工作领导小组，进一步压实各部门责任，形成了各相关部门相互协作配合的传统村落保护利用工作机制，编制《晋江市传统村落集中连片保护利用规划》，规划建设城乡融合发展区、田园文化体验区、滨海传承发展区等三个传统村落发展片区。印发了《晋江市历史文化街区名镇名村传统村落和历史建筑保护利用工作方案》、《晋江市传统村落集中连片保护利用示范工作方案》等政策，全面加强历史文化保护利用工作。</w:t>
      </w:r>
    </w:p>
    <w:p>
      <w:pPr>
        <w:pageBreakBefore w:val="0"/>
        <w:widowControl w:val="0"/>
        <w:kinsoku/>
        <w:wordWrap/>
        <w:overflowPunct/>
        <w:topLinePunct w:val="0"/>
        <w:autoSpaceDE/>
        <w:autoSpaceDN/>
        <w:bidi w:val="0"/>
        <w:spacing w:line="560" w:lineRule="exact"/>
        <w:ind w:firstLine="643" w:firstLineChars="200"/>
        <w:textAlignment w:val="auto"/>
        <w:rPr>
          <w:rFonts w:ascii="楷体" w:hAnsi="楷体" w:eastAsia="楷体"/>
          <w:b/>
          <w:sz w:val="32"/>
          <w:szCs w:val="32"/>
        </w:rPr>
      </w:pPr>
      <w:r>
        <w:rPr>
          <w:rFonts w:ascii="楷体" w:hAnsi="楷体" w:eastAsia="楷体"/>
          <w:b/>
          <w:sz w:val="32"/>
          <w:szCs w:val="32"/>
        </w:rPr>
        <w:t>（二）历史文化资源调查评估、认定公布情况</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普查工作方面。</w:t>
      </w:r>
      <w:r>
        <w:rPr>
          <w:rFonts w:hint="eastAsia" w:ascii="仿宋_GB2312" w:hAnsi="仿宋_GB2312" w:eastAsia="仿宋_GB2312" w:cs="仿宋_GB2312"/>
          <w:sz w:val="32"/>
          <w:szCs w:val="32"/>
          <w:lang w:val="en-US" w:eastAsia="zh-CN"/>
        </w:rPr>
        <w:t>2024年度成立市文物普查工作领导小组及普查办，全面部署推进我市“四普”工作，已复查“三普”不可移动文物592处，调查新发现文物39处，其中新发现水下文物遗址1处。2024年新增</w:t>
      </w:r>
      <w:r>
        <w:rPr>
          <w:rFonts w:hint="eastAsia" w:ascii="仿宋_GB2312" w:hAnsi="仿宋_GB2312" w:eastAsia="仿宋_GB2312" w:cs="仿宋_GB2312"/>
          <w:sz w:val="32"/>
          <w:szCs w:val="32"/>
        </w:rPr>
        <w:t>58人获评第三批晋江市级非遗传承人。</w:t>
      </w:r>
      <w:r>
        <w:rPr>
          <w:rFonts w:hint="eastAsia" w:ascii="仿宋_GB2312" w:hAnsi="仿宋_GB2312" w:eastAsia="仿宋_GB2312" w:cs="仿宋_GB2312"/>
          <w:sz w:val="32"/>
          <w:szCs w:val="32"/>
          <w:lang w:val="en-US" w:eastAsia="zh-CN"/>
        </w:rPr>
        <w:t>开展新一轮历史建筑及传统风貌建筑摸排工作，已收集到12宗线索，正在开展认定相关工作。组织省级历史文化名村围头村申报中国历史文化名村，组织灵源街道灵水老街申报省级历史文化街区，组织金井镇溜江村、石圳村，安海镇西安村，龙湖镇烧灰村，磁灶镇洋宅村、岭畔村申报省级传统村落。</w:t>
      </w:r>
    </w:p>
    <w:p>
      <w:pPr>
        <w:pageBreakBefore w:val="0"/>
        <w:widowControl w:val="0"/>
        <w:kinsoku/>
        <w:wordWrap/>
        <w:overflowPunct/>
        <w:topLinePunct w:val="0"/>
        <w:autoSpaceDE/>
        <w:autoSpaceDN/>
        <w:bidi w:val="0"/>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保护管理方面。</w:t>
      </w:r>
      <w:r>
        <w:rPr>
          <w:rFonts w:hint="eastAsia" w:ascii="仿宋_GB2312" w:hAnsi="仿宋_GB2312" w:eastAsia="仿宋_GB2312" w:cs="仿宋_GB2312"/>
          <w:sz w:val="32"/>
          <w:szCs w:val="32"/>
          <w:lang w:val="en-US" w:eastAsia="zh-CN"/>
        </w:rPr>
        <w:t>五店市历史文化街区已设置保护标志牌，</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lang w:val="en-US" w:eastAsia="zh-CN"/>
        </w:rPr>
        <w:t>294栋历史建筑、10栋传统风貌建筑挂牌保护、测绘建档、保护图则制定，相关信息均已录入省级历史文化资源保护利用信息系统。福全历史文化名村保护规划已批复，五店市、安海、福林、围头等历史文化街区名镇名村保护规划已评审，梧林、围头、塘东、福林、檗谷等传统村落保护发展规划已批复，南浔、瑶前、灵水等传统村落保护发展规划已评审。</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3.文物保护单位方面。</w:t>
      </w:r>
      <w:r>
        <w:rPr>
          <w:rFonts w:hint="eastAsia" w:ascii="仿宋_GB2312" w:hAnsi="仿宋_GB2312" w:eastAsia="仿宋_GB2312" w:cs="仿宋_GB2312"/>
          <w:sz w:val="32"/>
          <w:szCs w:val="32"/>
          <w:lang w:val="en-US" w:eastAsia="zh-CN"/>
        </w:rPr>
        <w:t>晋江市现有各级文物保护单位153处（179个点），其中国保单位9处（13个点）、省保单位15处（31个点）、市级文保单位129处（135个点），</w:t>
      </w:r>
      <w:r>
        <w:rPr>
          <w:rFonts w:hint="eastAsia" w:ascii="仿宋_GB2312" w:hAnsi="仿宋_GB2312" w:eastAsia="仿宋_GB2312" w:cs="仿宋_GB2312"/>
          <w:sz w:val="32"/>
          <w:szCs w:val="32"/>
        </w:rPr>
        <w:t>尚未核定公布为文物保护单位</w:t>
      </w:r>
      <w:r>
        <w:rPr>
          <w:rFonts w:hint="eastAsia" w:ascii="仿宋_GB2312" w:hAnsi="仿宋_GB2312" w:eastAsia="仿宋_GB2312" w:cs="仿宋_GB2312"/>
          <w:sz w:val="32"/>
          <w:szCs w:val="32"/>
          <w:lang w:val="en-US" w:eastAsia="zh-CN"/>
        </w:rPr>
        <w:t>440处。市级以上（含市级）文物保护单位</w:t>
      </w:r>
      <w:r>
        <w:rPr>
          <w:rFonts w:hint="eastAsia" w:ascii="仿宋_GB2312" w:hAnsi="仿宋_GB2312" w:eastAsia="仿宋_GB2312" w:cs="仿宋_GB2312"/>
          <w:sz w:val="32"/>
          <w:szCs w:val="32"/>
        </w:rPr>
        <w:t>建立并动态更新记录档案情况，地下文物埋藏区划定</w:t>
      </w:r>
      <w:r>
        <w:rPr>
          <w:rFonts w:hint="eastAsia" w:ascii="仿宋_GB2312" w:hAnsi="仿宋_GB2312" w:eastAsia="仿宋_GB2312" w:cs="仿宋_GB2312"/>
          <w:sz w:val="32"/>
          <w:szCs w:val="32"/>
          <w:lang w:eastAsia="zh-CN"/>
        </w:rPr>
        <w:t>待泉州文物局公布后实施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4.其它历史文化遗产方面。</w:t>
      </w:r>
      <w:r>
        <w:rPr>
          <w:rFonts w:hint="eastAsia" w:ascii="仿宋_GB2312" w:hAnsi="仿宋_GB2312" w:eastAsia="仿宋_GB2312" w:cs="仿宋_GB2312"/>
          <w:sz w:val="32"/>
          <w:szCs w:val="32"/>
          <w:lang w:eastAsia="zh-CN"/>
        </w:rPr>
        <w:t>晋江现有</w:t>
      </w:r>
      <w:r>
        <w:rPr>
          <w:rFonts w:hint="eastAsia" w:ascii="仿宋_GB2312" w:hAnsi="仿宋_GB2312" w:eastAsia="仿宋_GB2312" w:cs="仿宋_GB2312"/>
          <w:sz w:val="32"/>
          <w:szCs w:val="32"/>
          <w:lang w:val="en-US" w:eastAsia="zh-CN"/>
        </w:rPr>
        <w:t>各级非物质文化遗产代表性项目80项，其中联合国教科文组织4项、国家级7项、省级6项、泉州市级24项、晋江市级39项。各级非物质文化遗产代表性项目代表性传承人187人，其中国家级4人、省级13人、泉州市级35人、晋江市级135人。</w:t>
      </w:r>
    </w:p>
    <w:p>
      <w:pPr>
        <w:pageBreakBefore w:val="0"/>
        <w:widowControl w:val="0"/>
        <w:kinsoku/>
        <w:wordWrap/>
        <w:overflowPunct/>
        <w:topLinePunct w:val="0"/>
        <w:autoSpaceDE/>
        <w:autoSpaceDN/>
        <w:bidi w:val="0"/>
        <w:spacing w:line="560" w:lineRule="exact"/>
        <w:ind w:firstLine="643" w:firstLineChars="200"/>
        <w:textAlignment w:val="auto"/>
        <w:rPr>
          <w:rFonts w:ascii="楷体" w:hAnsi="楷体" w:eastAsia="楷体"/>
          <w:b/>
          <w:sz w:val="32"/>
          <w:szCs w:val="32"/>
        </w:rPr>
      </w:pPr>
      <w:r>
        <w:rPr>
          <w:rFonts w:ascii="楷体" w:hAnsi="楷体" w:eastAsia="楷体"/>
          <w:b/>
          <w:sz w:val="32"/>
          <w:szCs w:val="32"/>
        </w:rPr>
        <w:t>（三）保护管理责任落实情况</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2"/>
        </w:rPr>
        <w:t>成立晋江市历史建筑风貌保护管理工作领导小组、晋江市传统村落集中连片保护利用工作领导小组，办公室均挂靠</w:t>
      </w:r>
      <w:r>
        <w:rPr>
          <w:rFonts w:hint="eastAsia" w:ascii="仿宋_GB2312" w:hAnsi="仿宋_GB2312" w:eastAsia="仿宋_GB2312" w:cs="仿宋_GB2312"/>
          <w:sz w:val="32"/>
          <w:szCs w:val="32"/>
          <w:lang w:eastAsia="zh-CN"/>
        </w:rPr>
        <w:t>市住建局，</w:t>
      </w:r>
      <w:r>
        <w:rPr>
          <w:rFonts w:hint="eastAsia" w:ascii="仿宋_GB2312" w:hAnsi="仿宋_GB2312" w:eastAsia="仿宋_GB2312" w:cs="仿宋_GB2312"/>
          <w:sz w:val="32"/>
          <w:szCs w:val="32"/>
        </w:rPr>
        <w:t>优化运作机制，形成整体合力，建立健全</w:t>
      </w:r>
      <w:r>
        <w:rPr>
          <w:rFonts w:hint="eastAsia" w:ascii="仿宋_GB2312" w:hAnsi="仿宋_GB2312" w:eastAsia="仿宋_GB2312" w:cs="仿宋_GB2312"/>
          <w:sz w:val="32"/>
          <w:szCs w:val="32"/>
          <w:lang w:eastAsia="zh-CN"/>
        </w:rPr>
        <w:t>历史文化街区、名镇名村、传统村落、</w:t>
      </w:r>
      <w:r>
        <w:rPr>
          <w:rFonts w:hint="eastAsia" w:ascii="仿宋_GB2312" w:hAnsi="仿宋_GB2312" w:eastAsia="仿宋_GB2312" w:cs="仿宋_GB2312"/>
          <w:sz w:val="32"/>
          <w:szCs w:val="32"/>
        </w:rPr>
        <w:t>历史建筑</w:t>
      </w:r>
      <w:r>
        <w:rPr>
          <w:rFonts w:hint="eastAsia" w:ascii="仿宋_GB2312" w:hAnsi="仿宋_GB2312" w:eastAsia="仿宋_GB2312" w:cs="仿宋_GB2312"/>
          <w:sz w:val="32"/>
          <w:szCs w:val="32"/>
          <w:lang w:eastAsia="zh-CN"/>
        </w:rPr>
        <w:t>和传统风貌建筑</w:t>
      </w:r>
      <w:r>
        <w:rPr>
          <w:rFonts w:hint="eastAsia" w:ascii="仿宋_GB2312" w:hAnsi="仿宋_GB2312" w:eastAsia="仿宋_GB2312" w:cs="仿宋_GB2312"/>
          <w:sz w:val="32"/>
          <w:szCs w:val="32"/>
        </w:rPr>
        <w:t>保护、修缮、利用的全程管理机制。</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sz w:val="32"/>
          <w:szCs w:val="32"/>
          <w:lang w:eastAsia="zh-CN"/>
        </w:rPr>
        <w:t>以创建传统村落集中连片保护利用示范县为契机，</w:t>
      </w:r>
      <w:r>
        <w:rPr>
          <w:rFonts w:hint="eastAsia" w:ascii="仿宋_GB2312" w:hAnsi="仿宋_GB2312" w:eastAsia="仿宋_GB2312" w:cs="仿宋_GB2312"/>
          <w:sz w:val="32"/>
          <w:szCs w:val="32"/>
        </w:rPr>
        <w:t>全力对接项目，加大资金投入。一是争取传统村落集中连片保护用中央补助资金3000万元</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加大本级投入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在传统村落集中连片保护利用示范工作方面累计完成投资</w:t>
      </w:r>
      <w:r>
        <w:rPr>
          <w:rFonts w:hint="eastAsia" w:ascii="仿宋_GB2312" w:hAnsi="仿宋_GB2312" w:eastAsia="仿宋_GB2312" w:cs="仿宋_GB2312"/>
          <w:sz w:val="32"/>
          <w:szCs w:val="32"/>
          <w:lang w:val="en-US" w:eastAsia="zh-CN"/>
        </w:rPr>
        <w:t>14955</w:t>
      </w:r>
      <w:r>
        <w:rPr>
          <w:rFonts w:hint="eastAsia" w:ascii="仿宋_GB2312" w:hAnsi="仿宋_GB2312" w:eastAsia="仿宋_GB2312" w:cs="仿宋_GB2312"/>
          <w:sz w:val="32"/>
          <w:szCs w:val="32"/>
          <w:lang w:eastAsia="zh-CN"/>
        </w:rPr>
        <w:t>万元。每年安排</w:t>
      </w:r>
      <w:r>
        <w:rPr>
          <w:rFonts w:hint="eastAsia" w:ascii="仿宋_GB2312" w:hAnsi="仿宋_GB2312" w:eastAsia="仿宋_GB2312" w:cs="仿宋_GB2312"/>
          <w:sz w:val="32"/>
          <w:szCs w:val="32"/>
          <w:lang w:val="en-US" w:eastAsia="zh-CN"/>
        </w:rPr>
        <w:t>500万世界文化遗产保护专项经费。</w:t>
      </w:r>
      <w:r>
        <w:rPr>
          <w:rFonts w:hint="eastAsia" w:ascii="仿宋_GB2312" w:hAnsi="仿宋_GB2312" w:eastAsia="仿宋_GB2312" w:cs="仿宋_GB2312"/>
          <w:sz w:val="32"/>
          <w:szCs w:val="32"/>
          <w:lang w:eastAsia="zh-CN"/>
        </w:rPr>
        <w:t>历史文化保护利用工作开展情况纳入镇街绩效考核</w:t>
      </w:r>
      <w:r>
        <w:rPr>
          <w:rFonts w:hint="eastAsia" w:ascii="仿宋_GB2312" w:hAnsi="仿宋_GB2312" w:eastAsia="仿宋_GB2312" w:cs="仿宋_GB2312"/>
          <w:sz w:val="32"/>
          <w:szCs w:val="32"/>
          <w:lang w:val="en-US"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sz w:val="32"/>
          <w:szCs w:val="32"/>
          <w:lang w:eastAsia="zh-CN"/>
        </w:rPr>
        <w:t>印发《关于切实加强传统村落风貌管控的通知》，明确职责分工，</w:t>
      </w:r>
      <w:r>
        <w:rPr>
          <w:rFonts w:hint="eastAsia" w:ascii="仿宋_GB2312" w:hAnsi="仿宋_GB2312" w:eastAsia="仿宋_GB2312" w:cs="仿宋_GB2312"/>
          <w:sz w:val="32"/>
          <w:szCs w:val="32"/>
          <w:lang w:val="en-US" w:eastAsia="zh-CN"/>
        </w:rPr>
        <w:t>健全防止破坏和管控机制，加强传统村落风貌管控。市风貌办多次开展检查工作，对我市历史文化街区、名镇名村、传统村落和历史建筑的保护情况进行动态监测；相关镇、街道对区域范围内的保护情况进行动态监测，对于遭受灾害造成重大损失、发生或者可能发生危及安全的突发事件，能快速采取应急措施，组织抢救保护，并向上级报告。同时，依托省住建厅“一网通管”APP系统，镇街相关责任人每月对历史建筑开展巡查，及时发现历史建筑安全隐患，并进行整改。</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sz w:val="32"/>
          <w:szCs w:val="32"/>
          <w:lang w:val="en-US" w:eastAsia="zh-CN"/>
        </w:rPr>
        <w:t>各历史文化街区、名镇名村、传统村落、历史建筑和传统风貌建筑明确消防安全责任，制定消防安全管理制度、预案，配备消防设施。</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sz w:val="32"/>
          <w:szCs w:val="32"/>
        </w:rPr>
        <w:t>文物保护单位“四有”工作完成</w:t>
      </w:r>
      <w:r>
        <w:rPr>
          <w:rFonts w:hint="eastAsia" w:ascii="仿宋_GB2312" w:hAnsi="仿宋_GB2312" w:eastAsia="仿宋_GB2312" w:cs="仿宋_GB2312"/>
          <w:sz w:val="32"/>
          <w:szCs w:val="32"/>
          <w:lang w:eastAsia="zh-CN"/>
        </w:rPr>
        <w:t>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安海龙山寺、西资寺石佛造像两处国保单位文物保护专项规划经省政府公布实施，草庵石刻保护规划已报国家文物局审批。在城市建设中，坚持落实“考古前置”工作，</w:t>
      </w:r>
      <w:r>
        <w:rPr>
          <w:rFonts w:hint="eastAsia" w:ascii="仿宋_GB2312" w:hAnsi="仿宋_GB2312" w:eastAsia="仿宋_GB2312" w:cs="仿宋_GB2312"/>
          <w:sz w:val="32"/>
          <w:szCs w:val="32"/>
          <w:lang w:val="en-US" w:eastAsia="zh-CN"/>
        </w:rPr>
        <w:t>2024年对晋江市草庵旅游集散中心工程项目、草庵路用地建设项目，涉及草庵摩尼光佛造像缓冲区和景观控制区的项目用地，报经省物局批准同意后开展考古勘探，后续有关建设行为也将严格按照有关规定落实报批。</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sz w:val="32"/>
          <w:szCs w:val="32"/>
        </w:rPr>
        <w:t>建立城市更新改造中文化遗产先普查后征收制度。对列入征迁项目开展历史文化遗产普查，对50年以上的建筑进行普查甄别，开展文化资源评估论证，提出保护措施。累计已实施文化遗产普查甄别项目8个，涉及项目面积667.64公顷，共摸排征迁建筑数量2820栋，发现建成50年以上的建筑 134栋，已全部明确提出处置意见。</w:t>
      </w:r>
    </w:p>
    <w:p>
      <w:pPr>
        <w:pStyle w:val="15"/>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t>2024年度，历史文化街区、名镇名村、传统村落内建设活动、历史建筑和传统风貌建筑修缮装修均严格落实保护规划（图则）要求，未出现违反规划（图则）规定保护要求的行为。</w:t>
      </w:r>
    </w:p>
    <w:p>
      <w:pPr>
        <w:pageBreakBefore w:val="0"/>
        <w:widowControl w:val="0"/>
        <w:kinsoku/>
        <w:wordWrap/>
        <w:overflowPunct/>
        <w:topLinePunct w:val="0"/>
        <w:autoSpaceDE/>
        <w:autoSpaceDN/>
        <w:bidi w:val="0"/>
        <w:spacing w:line="560" w:lineRule="exact"/>
        <w:ind w:firstLine="643" w:firstLineChars="200"/>
        <w:textAlignment w:val="auto"/>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lang w:eastAsia="zh-CN"/>
        </w:rPr>
        <w:t>四</w:t>
      </w:r>
      <w:r>
        <w:rPr>
          <w:rFonts w:ascii="楷体" w:hAnsi="楷体" w:eastAsia="楷体"/>
          <w:b/>
          <w:sz w:val="32"/>
          <w:szCs w:val="32"/>
        </w:rPr>
        <w:t>）保护活化利用</w:t>
      </w:r>
      <w:r>
        <w:rPr>
          <w:rFonts w:hint="eastAsia" w:ascii="楷体" w:hAnsi="楷体" w:eastAsia="楷体"/>
          <w:b/>
          <w:sz w:val="32"/>
          <w:szCs w:val="32"/>
          <w:lang w:eastAsia="zh-CN"/>
        </w:rPr>
        <w:t>实施项目</w:t>
      </w:r>
      <w:r>
        <w:rPr>
          <w:rFonts w:ascii="楷体" w:hAnsi="楷体" w:eastAsia="楷体"/>
          <w:b/>
          <w:sz w:val="32"/>
          <w:szCs w:val="32"/>
        </w:rPr>
        <w:t>情况</w:t>
      </w:r>
    </w:p>
    <w:p>
      <w:pPr>
        <w:pStyle w:val="15"/>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深化传统村落集中连片保护示范工作。重点打造传统村落3大片区，全面提升9个传统村落，2024年完成投资14955万元。</w:t>
      </w:r>
    </w:p>
    <w:p>
      <w:pPr>
        <w:pStyle w:val="15"/>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启动推进“刺桐侨厝”保护利用三年专项行动。建立“刺桐侨厝群”重点保护提升及零星华侨建筑修缮项目库，完成2024年度灵水传统村落华侨建筑群（一期）重点保护提升和10栋零星华侨建筑修缮工作。</w:t>
      </w:r>
    </w:p>
    <w:p>
      <w:pPr>
        <w:pageBreakBefore w:val="0"/>
        <w:widowControl w:val="0"/>
        <w:kinsoku/>
        <w:wordWrap/>
        <w:overflowPunct/>
        <w:topLinePunct w:val="0"/>
        <w:autoSpaceDE/>
        <w:autoSpaceDN/>
        <w:bidi w:val="0"/>
        <w:spacing w:line="560" w:lineRule="exact"/>
        <w:ind w:firstLine="627" w:firstLineChars="196"/>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sz w:val="32"/>
          <w:szCs w:val="32"/>
        </w:rPr>
        <w:t>在福林村建立“侨厝管家”，试点楼长制，对修缮的华侨建筑进行托管服务，先后落地厦门大学西区97号国际艺术社区、旅港版画家许晴野个人收藏艺术馆、晋江市华侨文献研究馆、晋江市华侨生活记忆馆等多元业态。</w:t>
      </w:r>
    </w:p>
    <w:p>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三、保护利用工作成效</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（一）格局与风貌保持方面。</w:t>
      </w:r>
      <w:r>
        <w:rPr>
          <w:rFonts w:hint="eastAsia" w:ascii="仿宋_GB2312" w:hAnsi="仿宋_GB2312" w:eastAsia="仿宋_GB2312" w:cs="仿宋_GB2312"/>
          <w:sz w:val="32"/>
          <w:szCs w:val="32"/>
        </w:rPr>
        <w:t>始终坚守“保护发展传承中华农耕文明”初心，秉承“以人为本、固态保护、活态传承、业态提升”思路，确定了保护历史环境要素、保护整体肌理格局、实施定线落图、加强分区管控、注重物质与非物质文化并重、传统村落共同缔造六项保护措施。严格遵循留白、留绿、留旧、留文、留魂的理念，出台《关于切实加强传统村落风貌管控的通知》，实施系统保护，强化建设活动管控。注重传承闽南传统建筑的文化与技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按照“修旧如旧，原汁原味”要求，采用传统工艺、老旧物件，还原乡村风貌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加强对非遗传承人的培养，</w:t>
      </w:r>
      <w:r>
        <w:rPr>
          <w:rFonts w:hint="eastAsia" w:ascii="仿宋_GB2312" w:hAnsi="仿宋_GB2312" w:eastAsia="仿宋_GB2312" w:cs="仿宋_GB2312"/>
          <w:sz w:val="32"/>
          <w:szCs w:val="32"/>
        </w:rPr>
        <w:t>推荐10个常年开展非遗项目传承工作的18所大、中、小学、幼儿园，授予晋江市首批非物质文化遗产校园传承基地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58人获评第三批晋江市级非遗传承人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27名非遗专家入库建设。组织全市各级南音代表性传承人开展专场演出，组织制作晋江市非物质文化遗产传承人专题片。以五店市传统街区、安海镇、金井镇福全村作为重点保护区域，通过设立五店市民俗馆、南音会馆、露天戏台、岁时节庆馆，开展非遗项目进景区常态性演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已演出逾400场次。实施“数字非遗”工程建设，立足系统化整合乡村非遗资源，加强对非遗资源的普查与资料整理工作，为数字库平台建设奠定基础，非遗数据库平台已完成建设。常年开放晋江市非物质文化遗产展示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举办各种非遗项目的社教活动。举办2024年晋江市“文化和自然遗产日”系列活动，开办非遗传承人研修班，邀请文化专家对晋江市各级非遗传承人进行培训，进一步提升传承人队伍素养</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（二）人居环境与基础设施提升方面。</w:t>
      </w:r>
      <w:r>
        <w:rPr>
          <w:rFonts w:hint="eastAsia" w:ascii="仿宋_GB2312" w:hAnsi="仿宋_GB2312" w:eastAsia="仿宋_GB2312" w:cs="仿宋_GB2312"/>
          <w:sz w:val="32"/>
          <w:szCs w:val="32"/>
          <w:lang w:eastAsia="zh-CN"/>
        </w:rPr>
        <w:t>结合传统村落集中保护利用示范县创建，实施</w:t>
      </w:r>
      <w:r>
        <w:rPr>
          <w:rFonts w:hint="eastAsia" w:ascii="仿宋_GB2312" w:hAnsi="仿宋_GB2312" w:eastAsia="仿宋_GB2312" w:cs="仿宋_GB2312"/>
          <w:sz w:val="32"/>
          <w:szCs w:val="32"/>
          <w:lang w:val="en-US" w:eastAsia="zh-CN"/>
        </w:rPr>
        <w:t>9个传统村落重点改善提升项目，补齐公共设施短板项目，2024年累计完成投资14955万，有效改善传统村落环境及居住舒适度。</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（三）历史建筑保护利用方面。</w:t>
      </w:r>
      <w:r>
        <w:rPr>
          <w:rFonts w:hint="eastAsia" w:ascii="仿宋_GB2312" w:hAnsi="仿宋_GB2312" w:eastAsia="仿宋_GB2312" w:cs="仿宋_GB2312"/>
          <w:sz w:val="32"/>
          <w:szCs w:val="32"/>
          <w:lang w:eastAsia="zh-CN"/>
        </w:rPr>
        <w:t>开展历史建筑消防安全隐患排查整治工作，常态化开展历史建筑日常巡查工作，有效保障历史建筑安全。</w:t>
      </w:r>
      <w:r>
        <w:rPr>
          <w:rFonts w:hint="eastAsia" w:ascii="仿宋_GB2312" w:hAnsi="仿宋_GB2312" w:eastAsia="仿宋_GB2312" w:cs="仿宋_GB2312"/>
          <w:sz w:val="32"/>
          <w:szCs w:val="32"/>
        </w:rPr>
        <w:t>坚持“最小干预，修旧如旧”原则，对历史建筑实施整体修缮保护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2024年完成10栋历史建筑修缮。</w:t>
      </w:r>
      <w:r>
        <w:rPr>
          <w:rFonts w:hint="eastAsia" w:ascii="仿宋_GB2312" w:hAnsi="仿宋_GB2312" w:eastAsia="仿宋_GB2312" w:cs="仿宋_GB2312"/>
          <w:sz w:val="32"/>
          <w:szCs w:val="32"/>
        </w:rPr>
        <w:t>在保留历史建筑价值和保证安全的前提下，对历史建筑、传统建筑进行活态开发，为历史建筑、传统建筑注入新的活力</w:t>
      </w:r>
      <w:r>
        <w:rPr>
          <w:rFonts w:hint="eastAsia" w:ascii="仿宋_GB2312" w:hAnsi="仿宋_GB2312" w:eastAsia="仿宋_GB2312" w:cs="仿宋_GB2312"/>
          <w:sz w:val="32"/>
          <w:szCs w:val="32"/>
          <w:lang w:eastAsia="zh-CN"/>
        </w:rPr>
        <w:t>，比如灵水社区话桑别墅活化为</w:t>
      </w:r>
      <w:r>
        <w:rPr>
          <w:rFonts w:hint="eastAsia" w:ascii="仿宋_GB2312" w:hAnsi="仿宋_GB2312" w:eastAsia="仿宋_GB2312" w:cs="仿宋_GB2312"/>
          <w:sz w:val="32"/>
          <w:szCs w:val="32"/>
        </w:rPr>
        <w:t>话桑文化馆（世界濒危动植物邮票展厅）</w:t>
      </w:r>
      <w:r>
        <w:rPr>
          <w:rFonts w:hint="eastAsia" w:ascii="仿宋_GB2312" w:hAnsi="仿宋_GB2312" w:eastAsia="仿宋_GB2312" w:cs="仿宋_GB2312"/>
          <w:sz w:val="32"/>
          <w:szCs w:val="32"/>
          <w:lang w:eastAsia="zh-CN"/>
        </w:rPr>
        <w:t>、围头村吴道祝厝活化为民宿。</w:t>
      </w:r>
    </w:p>
    <w:p>
      <w:pPr>
        <w:pStyle w:val="15"/>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（四）文物保护利用成效方面。</w:t>
      </w:r>
      <w:r>
        <w:rPr>
          <w:rFonts w:hint="eastAsia" w:ascii="仿宋_GB2312" w:hAnsi="仿宋_GB2312" w:eastAsia="仿宋_GB2312" w:cs="仿宋_GB2312"/>
          <w:kern w:val="2"/>
          <w:sz w:val="32"/>
          <w:szCs w:val="32"/>
          <w:lang w:val="en-US" w:eastAsia="zh-CN" w:bidi="ar-SA"/>
        </w:rPr>
        <w:t>2024年开展文物保护修缮工程12项，其中5项已通过竣工验收，3项已完工待验收，4项正在施工；国保单位安平桥建设控制地带范围内建设工程、市保单位闽台粘氏大宗祠保护范围内建设工程按法定程序完成报批。2024年，开展文物建筑合理利用工作5项，含2处市保单位，3处尚未核定公布为文物保护单位的一般文物点。</w:t>
      </w:r>
    </w:p>
    <w:p>
      <w:pPr>
        <w:pStyle w:val="15"/>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（五）发动社会力量参与方面。</w:t>
      </w:r>
      <w:r>
        <w:rPr>
          <w:rFonts w:hint="eastAsia" w:ascii="仿宋_GB2312" w:hAnsi="仿宋_GB2312" w:eastAsia="仿宋_GB2312" w:cs="仿宋_GB2312"/>
          <w:kern w:val="2"/>
          <w:sz w:val="32"/>
          <w:szCs w:val="32"/>
          <w:lang w:val="en-US" w:eastAsia="zh-CN" w:bidi="ar-SA"/>
        </w:rPr>
        <w:t>在晋江慈善总会设立晋江文物保护基金，是福建省首个由社会力量捐资成立的文物保护基金，在全省发挥引领和导向作用。邀请中国城市规划院、省村镇中心等方面专家现场指导、技术把关。推动北京清华同衡规划院驻地服务，引进世合空间设计公司等台湾团队在围头、灵水等村开展驻点服务，深挖地方特色、文化内涵。探索“以奖代补”方法，引导村民发挥主体作用，吸引村民捐资修缮宗祠及其他传统建筑，动员村民成立、参加各类传统村落保护利用相关的理事会、委员会等自治组织，进一步调动村民的积极性、创造性。比如，福林村与海外乡贤共用组建古村守护联盟，福全村组建福全古城保护基金会等。</w:t>
      </w:r>
    </w:p>
    <w:p>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560" w:lineRule="exact"/>
        <w:ind w:leftChars="200" w:firstLine="320" w:firstLineChars="1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四、存在的问题与困难</w:t>
      </w:r>
    </w:p>
    <w:p>
      <w:pPr>
        <w:pageBreakBefore w:val="0"/>
        <w:widowControl w:val="0"/>
        <w:kinsoku/>
        <w:wordWrap/>
        <w:overflowPunct/>
        <w:topLinePunct w:val="0"/>
        <w:autoSpaceDE/>
        <w:autoSpaceDN/>
        <w:bidi w:val="0"/>
        <w:spacing w:line="560" w:lineRule="exact"/>
        <w:ind w:firstLine="64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民间保护意识比较淡薄。</w:t>
      </w:r>
      <w:r>
        <w:rPr>
          <w:rFonts w:hint="eastAsia" w:ascii="仿宋_GB2312" w:hAnsi="仿宋_GB2312" w:eastAsia="仿宋_GB2312" w:cs="仿宋_GB2312"/>
          <w:sz w:val="32"/>
          <w:szCs w:val="32"/>
        </w:rPr>
        <w:t>传统村落保护意识尚未深入人心，作为保护传统村落主体的原住民，对传统村落遗产的稀缺性、重要性认识不足，同时受经济水平及居住实用性制约，自觉保护意识不强。</w:t>
      </w:r>
    </w:p>
    <w:p>
      <w:pPr>
        <w:pageBreakBefore w:val="0"/>
        <w:widowControl w:val="0"/>
        <w:kinsoku/>
        <w:wordWrap/>
        <w:overflowPunct/>
        <w:topLinePunct w:val="0"/>
        <w:autoSpaceDE/>
        <w:autoSpaceDN/>
        <w:bidi w:val="0"/>
        <w:spacing w:line="560" w:lineRule="exact"/>
        <w:ind w:firstLine="64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专业人才工匠匮乏。</w:t>
      </w:r>
      <w:r>
        <w:rPr>
          <w:rFonts w:hint="eastAsia" w:ascii="仿宋_GB2312" w:hAnsi="仿宋_GB2312" w:eastAsia="仿宋_GB2312" w:cs="仿宋_GB2312"/>
          <w:sz w:val="32"/>
          <w:szCs w:val="32"/>
        </w:rPr>
        <w:t>闽南传统民居建筑的规制、工艺、材料等有别于其他流派古建筑，砖雕、木雕、石雕、泥塑、剪瓷等传统工艺后继无人，传统建筑材料缺失和传统工艺失传制约历史建筑的修缮保护。</w:t>
      </w:r>
    </w:p>
    <w:p>
      <w:pPr>
        <w:pageBreakBefore w:val="0"/>
        <w:widowControl w:val="0"/>
        <w:kinsoku/>
        <w:wordWrap/>
        <w:overflowPunct/>
        <w:topLinePunct w:val="0"/>
        <w:autoSpaceDE/>
        <w:autoSpaceDN/>
        <w:bidi w:val="0"/>
        <w:spacing w:line="560" w:lineRule="exact"/>
        <w:ind w:firstLine="64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修缮保护资金不足。</w:t>
      </w:r>
      <w:r>
        <w:rPr>
          <w:rFonts w:hint="eastAsia" w:ascii="仿宋_GB2312" w:hAnsi="仿宋_GB2312" w:eastAsia="仿宋_GB2312" w:cs="仿宋_GB2312"/>
          <w:sz w:val="32"/>
          <w:szCs w:val="32"/>
        </w:rPr>
        <w:t>晋江市传统民居建筑数量众多，并且闽南传统民居建筑用料、工艺等与现代建筑差别较大，预算造价远高于现代建筑，资金需求大。</w:t>
      </w:r>
    </w:p>
    <w:p>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五、下一年度工作计划</w:t>
      </w:r>
    </w:p>
    <w:p>
      <w:pPr>
        <w:pageBreakBefore w:val="0"/>
        <w:widowControl w:val="0"/>
        <w:pBdr>
          <w:bottom w:val="single" w:color="FFFFFF" w:sz="4" w:space="29"/>
        </w:pBdr>
        <w:tabs>
          <w:tab w:val="left" w:pos="1440"/>
        </w:tabs>
        <w:kinsoku/>
        <w:wordWrap/>
        <w:overflowPunct/>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eastAsia="仿宋_GB2312"/>
          <w:b/>
          <w:bCs/>
          <w:sz w:val="32"/>
          <w:szCs w:val="32"/>
          <w:lang w:val="en-US" w:eastAsia="zh-CN"/>
        </w:rPr>
        <w:t>（一）</w:t>
      </w:r>
      <w:r>
        <w:rPr>
          <w:rFonts w:hint="eastAsia" w:ascii="仿宋_GB2312" w:eastAsia="仿宋_GB2312"/>
          <w:b/>
          <w:bCs/>
          <w:sz w:val="32"/>
          <w:szCs w:val="32"/>
        </w:rPr>
        <w:t>充实全市保护名录。</w:t>
      </w:r>
      <w:r>
        <w:rPr>
          <w:rFonts w:hint="eastAsia" w:ascii="仿宋_GB2312" w:hAnsi="仿宋_GB2312" w:eastAsia="仿宋_GB2312" w:cs="仿宋_GB2312"/>
          <w:sz w:val="32"/>
          <w:szCs w:val="32"/>
          <w:lang w:eastAsia="zh-CN"/>
        </w:rPr>
        <w:t>继续按照上级部署开展文物“四普”工作，做到“应普尽普”、“应保尽保”。</w:t>
      </w:r>
      <w:r>
        <w:rPr>
          <w:rFonts w:hint="eastAsia" w:ascii="仿宋_GB2312" w:hAnsi="仿宋_GB2312" w:eastAsia="仿宋_GB2312" w:cs="仿宋_GB2312"/>
          <w:sz w:val="32"/>
          <w:szCs w:val="32"/>
        </w:rPr>
        <w:t>开展城乡历史文化资源普查，进行评估分级，进一步挖掘有保护价值的历史文化街区、名镇名村、传统村落及历史建筑、传统风貌建筑、华侨建筑资源。积极组织申报省级历史文化街区、省级传统村落，组织认定、公布新一批历史建筑、传统风貌建筑，扩大覆盖面。</w:t>
      </w:r>
    </w:p>
    <w:p>
      <w:pPr>
        <w:pageBreakBefore w:val="0"/>
        <w:widowControl w:val="0"/>
        <w:pBdr>
          <w:bottom w:val="single" w:color="FFFFFF" w:sz="4" w:space="29"/>
        </w:pBdr>
        <w:tabs>
          <w:tab w:val="left" w:pos="1440"/>
        </w:tabs>
        <w:kinsoku/>
        <w:wordWrap/>
        <w:overflowPunct/>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b/>
          <w:sz w:val="32"/>
          <w:szCs w:val="32"/>
        </w:rPr>
        <w:t>（二）实施</w:t>
      </w:r>
      <w:r>
        <w:rPr>
          <w:rFonts w:hint="eastAsia" w:ascii="仿宋_GB2312" w:eastAsia="仿宋_GB2312"/>
          <w:b/>
          <w:sz w:val="32"/>
          <w:szCs w:val="32"/>
        </w:rPr>
        <w:t>“刺桐侨厝”保护利用三年专项行动</w:t>
      </w:r>
      <w:r>
        <w:rPr>
          <w:rFonts w:hint="eastAsia" w:ascii="仿宋_GB2312" w:hAnsi="仿宋_GB2312" w:eastAsia="仿宋_GB2312"/>
          <w:b/>
          <w:sz w:val="32"/>
          <w:szCs w:val="32"/>
        </w:rPr>
        <w:t>。</w:t>
      </w:r>
      <w:r>
        <w:rPr>
          <w:rFonts w:hint="eastAsia" w:ascii="仿宋_GB2312" w:hAnsi="仿宋_GB2312" w:eastAsia="仿宋_GB2312" w:cs="仿宋_GB2312"/>
          <w:sz w:val="32"/>
          <w:szCs w:val="32"/>
        </w:rPr>
        <w:t>深入挖掘华侨建筑资源，全面建立保护名录，按照“分类分档”管理原则，构建“华侨文物建筑、华侨历史建筑、华侨传统风貌建筑及特定意义的华侨建筑”4类管理台账。聚力打造华侨建筑风貌展示区、乡愁记忆馆，延续华侨文化基因。</w:t>
      </w:r>
    </w:p>
    <w:p>
      <w:pPr>
        <w:pageBreakBefore w:val="0"/>
        <w:widowControl w:val="0"/>
        <w:pBdr>
          <w:bottom w:val="single" w:color="FFFFFF" w:sz="4" w:space="29"/>
        </w:pBdr>
        <w:tabs>
          <w:tab w:val="left" w:pos="1440"/>
        </w:tabs>
        <w:kinsoku/>
        <w:wordWrap/>
        <w:overflowPunct/>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shd w:val="clear" w:color="auto" w:fill="FFFFFF"/>
        </w:rPr>
        <w:t>（</w:t>
      </w:r>
      <w:r>
        <w:rPr>
          <w:rFonts w:hint="eastAsia" w:ascii="仿宋_GB2312" w:hAnsi="仿宋_GB2312" w:eastAsia="仿宋_GB2312" w:cs="仿宋_GB2312"/>
          <w:b/>
          <w:sz w:val="32"/>
          <w:szCs w:val="32"/>
          <w:shd w:val="clear" w:color="auto" w:fill="FFFFFF"/>
          <w:lang w:eastAsia="zh-CN"/>
        </w:rPr>
        <w:t>三</w:t>
      </w:r>
      <w:r>
        <w:rPr>
          <w:rFonts w:hint="eastAsia" w:ascii="仿宋_GB2312" w:hAnsi="仿宋_GB2312" w:eastAsia="仿宋_GB2312" w:cs="仿宋_GB2312"/>
          <w:b/>
          <w:sz w:val="32"/>
          <w:szCs w:val="32"/>
          <w:shd w:val="clear" w:color="auto" w:fill="FFFFFF"/>
        </w:rPr>
        <w:t>）深入</w:t>
      </w:r>
      <w:r>
        <w:rPr>
          <w:rFonts w:hint="eastAsia" w:ascii="仿宋_GB2312" w:eastAsia="仿宋_GB2312"/>
          <w:b/>
          <w:bCs/>
          <w:sz w:val="32"/>
          <w:szCs w:val="32"/>
        </w:rPr>
        <w:t>推动历</w:t>
      </w:r>
      <w:r>
        <w:rPr>
          <w:rFonts w:hint="eastAsia" w:eastAsia="楷体_GB2312"/>
          <w:b/>
          <w:bCs/>
          <w:sz w:val="32"/>
          <w:szCs w:val="32"/>
        </w:rPr>
        <w:t>史文化活化利用。</w:t>
      </w:r>
      <w:r>
        <w:rPr>
          <w:rFonts w:hint="eastAsia" w:ascii="仿宋_GB2312" w:hAnsi="仿宋_GB2312" w:eastAsia="仿宋_GB2312" w:cs="仿宋_GB2312"/>
          <w:sz w:val="32"/>
          <w:szCs w:val="32"/>
        </w:rPr>
        <w:t>充分发掘历史元素和文化内涵，传承传统民俗文化等非物质文化遗产。重点挖掘海丝、华侨等元素，把华侨建筑活态传承作为联系海外侨亲的桥梁和纽带。充分挖掘、整理华侨建筑文化和民俗风情故事，鼓励和支持保护责任人利用华侨建筑开办展馆、传统作坊，发展文化创意、旅游产业、地方文化研究。</w:t>
      </w:r>
    </w:p>
    <w:p>
      <w:pPr>
        <w:pStyle w:val="6"/>
      </w:pPr>
    </w:p>
    <w:p>
      <w:pPr>
        <w:pStyle w:val="6"/>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r>
        <w:rPr>
          <w:rFonts w:eastAsia="黑体"/>
          <w:sz w:val="32"/>
          <w:szCs w:val="32"/>
        </w:rPr>
        <w:t>附件</w:t>
      </w:r>
      <w:r>
        <w:rPr>
          <w:rFonts w:hint="eastAsia" w:eastAsia="黑体"/>
          <w:sz w:val="32"/>
          <w:szCs w:val="32"/>
          <w:lang w:val="en-US" w:eastAsia="zh-CN"/>
        </w:rPr>
        <w:t>1</w:t>
      </w:r>
      <w:r>
        <w:rPr>
          <w:rFonts w:eastAsia="黑体"/>
          <w:sz w:val="32"/>
          <w:szCs w:val="32"/>
        </w:rPr>
        <w:t xml:space="preserve"> </w:t>
      </w:r>
    </w:p>
    <w:p>
      <w:pPr>
        <w:spacing w:line="600" w:lineRule="exact"/>
        <w:jc w:val="center"/>
        <w:rPr>
          <w:rFonts w:hint="eastAsia" w:eastAsia="方正小标宋简体"/>
          <w:sz w:val="44"/>
          <w:szCs w:val="44"/>
          <w:lang w:eastAsia="zh-CN"/>
        </w:rPr>
      </w:pPr>
      <w:r>
        <w:rPr>
          <w:rFonts w:hint="eastAsia" w:eastAsia="方正小标宋简体"/>
          <w:sz w:val="44"/>
          <w:szCs w:val="44"/>
          <w:lang w:eastAsia="zh-CN"/>
        </w:rPr>
        <w:t>问题清单</w:t>
      </w:r>
    </w:p>
    <w:p>
      <w:pPr>
        <w:pStyle w:val="15"/>
        <w:rPr>
          <w:rFonts w:ascii="Times New Roman" w:hAnsi="Times New Roman" w:cs="Times New Roman"/>
        </w:rPr>
      </w:pPr>
    </w:p>
    <w:tbl>
      <w:tblPr>
        <w:tblStyle w:val="9"/>
        <w:tblW w:w="89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44"/>
        <w:gridCol w:w="64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0" w:hRule="atLeast"/>
        </w:trPr>
        <w:tc>
          <w:tcPr>
            <w:tcW w:w="2544" w:type="dxa"/>
            <w:noWrap w:val="0"/>
            <w:vAlign w:val="center"/>
          </w:tcPr>
          <w:p>
            <w:pPr>
              <w:spacing w:line="280" w:lineRule="exact"/>
              <w:jc w:val="center"/>
              <w:rPr>
                <w:rFonts w:hint="eastAsia" w:ascii="Times New Roman" w:hAnsi="Times New Roman" w:eastAsia="仿宋_GB2312" w:cs="Times New Roman"/>
                <w:b/>
                <w:bCs/>
                <w:color w:val="auto"/>
                <w:sz w:val="24"/>
                <w:szCs w:val="24"/>
                <w:highlight w:val="none"/>
                <w:lang w:eastAsia="zh-CN"/>
              </w:rPr>
            </w:pPr>
            <w:r>
              <w:rPr>
                <w:rFonts w:ascii="Times New Roman" w:hAnsi="仿宋_GB2312" w:eastAsia="仿宋_GB2312" w:cs="Times New Roman"/>
                <w:b/>
                <w:bCs/>
                <w:color w:val="auto"/>
                <w:spacing w:val="-1"/>
                <w:sz w:val="24"/>
                <w:szCs w:val="24"/>
                <w:highlight w:val="none"/>
              </w:rPr>
              <w:t>存在问题</w:t>
            </w:r>
            <w:r>
              <w:rPr>
                <w:rFonts w:hint="eastAsia" w:hAnsi="仿宋_GB2312" w:eastAsia="仿宋_GB2312" w:cs="Times New Roman"/>
                <w:b/>
                <w:bCs/>
                <w:color w:val="auto"/>
                <w:spacing w:val="-1"/>
                <w:sz w:val="24"/>
                <w:szCs w:val="24"/>
                <w:highlight w:val="none"/>
                <w:lang w:eastAsia="zh-CN"/>
              </w:rPr>
              <w:t>方面</w:t>
            </w:r>
          </w:p>
        </w:tc>
        <w:tc>
          <w:tcPr>
            <w:tcW w:w="6455" w:type="dxa"/>
            <w:noWrap w:val="0"/>
            <w:vAlign w:val="center"/>
          </w:tcPr>
          <w:p>
            <w:pPr>
              <w:spacing w:line="280" w:lineRule="exact"/>
              <w:jc w:val="center"/>
              <w:rPr>
                <w:rFonts w:hint="eastAsia" w:ascii="Times New Roman" w:hAnsi="Times New Roman" w:eastAsia="仿宋_GB2312" w:cs="Times New Roman"/>
                <w:b/>
                <w:bCs/>
                <w:color w:val="auto"/>
                <w:sz w:val="24"/>
                <w:szCs w:val="24"/>
                <w:highlight w:val="none"/>
                <w:lang w:eastAsia="zh-CN"/>
              </w:rPr>
            </w:pPr>
            <w:r>
              <w:rPr>
                <w:rFonts w:ascii="Times New Roman" w:hAnsi="仿宋_GB2312" w:eastAsia="仿宋_GB2312" w:cs="Times New Roman"/>
                <w:b/>
                <w:bCs/>
                <w:color w:val="auto"/>
                <w:spacing w:val="-4"/>
                <w:sz w:val="24"/>
                <w:szCs w:val="24"/>
                <w:highlight w:val="none"/>
              </w:rPr>
              <w:t>具体</w:t>
            </w:r>
            <w:r>
              <w:rPr>
                <w:rFonts w:hint="eastAsia" w:hAnsi="仿宋_GB2312" w:eastAsia="仿宋_GB2312" w:cs="Times New Roman"/>
                <w:b/>
                <w:bCs/>
                <w:color w:val="auto"/>
                <w:spacing w:val="-4"/>
                <w:sz w:val="24"/>
                <w:szCs w:val="24"/>
                <w:highlight w:val="none"/>
                <w:lang w:eastAsia="zh-CN"/>
              </w:rPr>
              <w:t>问题描述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96" w:hRule="atLeast"/>
        </w:trPr>
        <w:tc>
          <w:tcPr>
            <w:tcW w:w="2544" w:type="dxa"/>
            <w:noWrap w:val="0"/>
            <w:vAlign w:val="center"/>
          </w:tcPr>
          <w:p>
            <w:pPr>
              <w:spacing w:line="280" w:lineRule="exact"/>
              <w:ind w:right="10"/>
              <w:rPr>
                <w:rFonts w:ascii="Times New Roman" w:hAnsi="Times New Roman" w:eastAsia="仿宋_GB2312" w:cs="Times New Roman"/>
                <w:color w:val="auto"/>
                <w:spacing w:val="1"/>
                <w:sz w:val="24"/>
                <w:szCs w:val="24"/>
                <w:highlight w:val="none"/>
              </w:rPr>
            </w:pPr>
            <w:r>
              <w:rPr>
                <w:rFonts w:hint="eastAsia" w:eastAsia="仿宋_GB2312" w:cs="Times New Roman"/>
                <w:color w:val="auto"/>
                <w:spacing w:val="1"/>
                <w:sz w:val="24"/>
                <w:szCs w:val="24"/>
                <w:highlight w:val="none"/>
                <w:lang w:val="en-US" w:eastAsia="zh-CN"/>
              </w:rPr>
              <w:t>一、</w:t>
            </w:r>
            <w:r>
              <w:rPr>
                <w:rFonts w:hint="eastAsia" w:ascii="Times New Roman" w:hAnsi="Times New Roman" w:eastAsia="仿宋_GB2312" w:cs="Times New Roman"/>
                <w:color w:val="auto"/>
                <w:spacing w:val="1"/>
                <w:sz w:val="24"/>
                <w:szCs w:val="24"/>
                <w:highlight w:val="none"/>
                <w:lang w:val="en-US" w:eastAsia="zh-CN"/>
              </w:rPr>
              <w:t>落实中央、省级文件精神情况</w:t>
            </w:r>
            <w:r>
              <w:rPr>
                <w:rFonts w:hint="eastAsia" w:eastAsia="仿宋_GB2312" w:cs="Times New Roman"/>
                <w:color w:val="auto"/>
                <w:spacing w:val="1"/>
                <w:sz w:val="24"/>
                <w:szCs w:val="24"/>
                <w:highlight w:val="none"/>
                <w:lang w:val="en-US" w:eastAsia="zh-CN"/>
              </w:rPr>
              <w:t>方面</w:t>
            </w:r>
          </w:p>
        </w:tc>
        <w:tc>
          <w:tcPr>
            <w:tcW w:w="6455" w:type="dxa"/>
            <w:noWrap w:val="0"/>
            <w:vAlign w:val="center"/>
          </w:tcPr>
          <w:p>
            <w:pPr>
              <w:spacing w:line="280" w:lineRule="exact"/>
              <w:ind w:right="10" w:firstLine="484" w:firstLineChars="200"/>
              <w:rPr>
                <w:rFonts w:ascii="Times New Roman" w:hAnsi="Times New Roman" w:eastAsia="仿宋_GB2312" w:cs="Times New Roman"/>
                <w:color w:val="auto"/>
                <w:spacing w:val="1"/>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96" w:hRule="atLeast"/>
        </w:trPr>
        <w:tc>
          <w:tcPr>
            <w:tcW w:w="2544" w:type="dxa"/>
            <w:noWrap w:val="0"/>
            <w:vAlign w:val="center"/>
          </w:tcPr>
          <w:p>
            <w:pPr>
              <w:spacing w:line="280" w:lineRule="exact"/>
              <w:ind w:right="10"/>
              <w:rPr>
                <w:rFonts w:ascii="Times New Roman" w:hAnsi="Times New Roman" w:eastAsia="仿宋_GB2312" w:cs="Times New Roman"/>
                <w:color w:val="auto"/>
                <w:spacing w:val="1"/>
                <w:sz w:val="24"/>
                <w:szCs w:val="24"/>
                <w:highlight w:val="none"/>
              </w:rPr>
            </w:pPr>
            <w:r>
              <w:rPr>
                <w:rFonts w:hint="eastAsia" w:eastAsia="仿宋_GB2312" w:cs="Times New Roman"/>
                <w:color w:val="auto"/>
                <w:spacing w:val="1"/>
                <w:sz w:val="24"/>
                <w:szCs w:val="24"/>
                <w:highlight w:val="none"/>
                <w:lang w:val="en-US" w:eastAsia="zh-CN"/>
              </w:rPr>
              <w:t>二、</w:t>
            </w:r>
            <w:r>
              <w:rPr>
                <w:rFonts w:hint="eastAsia" w:ascii="Times New Roman" w:hAnsi="Times New Roman" w:eastAsia="仿宋_GB2312" w:cs="Times New Roman"/>
                <w:color w:val="auto"/>
                <w:spacing w:val="1"/>
                <w:sz w:val="24"/>
                <w:szCs w:val="24"/>
                <w:highlight w:val="none"/>
                <w:lang w:val="en-US" w:eastAsia="zh-CN"/>
              </w:rPr>
              <w:t>历史文化资源调查评估、认定公布和保护管理情况</w:t>
            </w:r>
            <w:r>
              <w:rPr>
                <w:rFonts w:hint="eastAsia" w:eastAsia="仿宋_GB2312" w:cs="Times New Roman"/>
                <w:color w:val="auto"/>
                <w:spacing w:val="1"/>
                <w:sz w:val="24"/>
                <w:szCs w:val="24"/>
                <w:highlight w:val="none"/>
                <w:lang w:val="en-US" w:eastAsia="zh-CN"/>
              </w:rPr>
              <w:t>方面</w:t>
            </w:r>
          </w:p>
        </w:tc>
        <w:tc>
          <w:tcPr>
            <w:tcW w:w="6455" w:type="dxa"/>
            <w:noWrap w:val="0"/>
            <w:vAlign w:val="center"/>
          </w:tcPr>
          <w:p>
            <w:pPr>
              <w:spacing w:line="280" w:lineRule="exact"/>
              <w:ind w:right="10" w:firstLine="480" w:firstLineChars="200"/>
              <w:rPr>
                <w:rFonts w:ascii="Times New Roman" w:hAnsi="Times New Roman" w:eastAsia="仿宋_GB2312"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96" w:hRule="atLeast"/>
        </w:trPr>
        <w:tc>
          <w:tcPr>
            <w:tcW w:w="2544" w:type="dxa"/>
            <w:noWrap w:val="0"/>
            <w:vAlign w:val="center"/>
          </w:tcPr>
          <w:p>
            <w:pPr>
              <w:spacing w:line="280" w:lineRule="exact"/>
              <w:ind w:right="10"/>
              <w:rPr>
                <w:rFonts w:ascii="Times New Roman" w:hAnsi="Times New Roman" w:eastAsia="仿宋_GB2312" w:cs="Times New Roman"/>
                <w:color w:val="auto"/>
                <w:spacing w:val="1"/>
                <w:sz w:val="24"/>
                <w:szCs w:val="24"/>
                <w:highlight w:val="none"/>
              </w:rPr>
            </w:pPr>
            <w:r>
              <w:rPr>
                <w:rFonts w:hint="eastAsia" w:eastAsia="仿宋_GB2312" w:cs="Times New Roman"/>
                <w:color w:val="auto"/>
                <w:spacing w:val="1"/>
                <w:sz w:val="24"/>
                <w:szCs w:val="24"/>
                <w:highlight w:val="none"/>
                <w:lang w:val="en-US" w:eastAsia="zh-CN"/>
              </w:rPr>
              <w:t>三、</w:t>
            </w:r>
            <w:r>
              <w:rPr>
                <w:rFonts w:hint="eastAsia" w:ascii="Times New Roman" w:hAnsi="Times New Roman" w:eastAsia="仿宋_GB2312" w:cs="Times New Roman"/>
                <w:color w:val="auto"/>
                <w:spacing w:val="1"/>
                <w:sz w:val="24"/>
                <w:szCs w:val="24"/>
                <w:highlight w:val="none"/>
                <w:lang w:val="en-US" w:eastAsia="zh-CN"/>
              </w:rPr>
              <w:t>保护管理责任落实情况</w:t>
            </w:r>
            <w:r>
              <w:rPr>
                <w:rFonts w:hint="eastAsia" w:eastAsia="仿宋_GB2312" w:cs="Times New Roman"/>
                <w:color w:val="auto"/>
                <w:spacing w:val="1"/>
                <w:sz w:val="24"/>
                <w:szCs w:val="24"/>
                <w:highlight w:val="none"/>
                <w:lang w:val="en-US" w:eastAsia="zh-CN"/>
              </w:rPr>
              <w:t>方面</w:t>
            </w:r>
          </w:p>
        </w:tc>
        <w:tc>
          <w:tcPr>
            <w:tcW w:w="6455" w:type="dxa"/>
            <w:noWrap w:val="0"/>
            <w:vAlign w:val="center"/>
          </w:tcPr>
          <w:p>
            <w:pPr>
              <w:spacing w:line="280" w:lineRule="exact"/>
              <w:ind w:right="10" w:firstLine="480" w:firstLineChars="200"/>
              <w:rPr>
                <w:rFonts w:ascii="Times New Roman" w:hAnsi="Times New Roman" w:eastAsia="仿宋_GB2312"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96" w:hRule="atLeast"/>
        </w:trPr>
        <w:tc>
          <w:tcPr>
            <w:tcW w:w="2544" w:type="dxa"/>
            <w:noWrap w:val="0"/>
            <w:vAlign w:val="center"/>
          </w:tcPr>
          <w:p>
            <w:pPr>
              <w:spacing w:line="280" w:lineRule="exact"/>
              <w:ind w:right="10"/>
              <w:rPr>
                <w:rFonts w:ascii="Times New Roman" w:hAnsi="Times New Roman" w:eastAsia="仿宋_GB2312" w:cs="Times New Roman"/>
                <w:color w:val="auto"/>
                <w:spacing w:val="1"/>
                <w:sz w:val="24"/>
                <w:szCs w:val="24"/>
                <w:highlight w:val="none"/>
              </w:rPr>
            </w:pPr>
            <w:r>
              <w:rPr>
                <w:rFonts w:hint="eastAsia" w:eastAsia="仿宋_GB2312" w:cs="Times New Roman"/>
                <w:color w:val="auto"/>
                <w:spacing w:val="1"/>
                <w:sz w:val="24"/>
                <w:szCs w:val="24"/>
                <w:highlight w:val="none"/>
                <w:lang w:val="en-US" w:eastAsia="zh-CN"/>
              </w:rPr>
              <w:t>四、</w:t>
            </w:r>
            <w:r>
              <w:rPr>
                <w:rFonts w:hint="eastAsia" w:ascii="Times New Roman" w:hAnsi="Times New Roman" w:eastAsia="仿宋_GB2312" w:cs="Times New Roman"/>
                <w:color w:val="auto"/>
                <w:spacing w:val="1"/>
                <w:sz w:val="24"/>
                <w:szCs w:val="24"/>
                <w:highlight w:val="none"/>
                <w:lang w:val="en-US" w:eastAsia="zh-CN"/>
              </w:rPr>
              <w:t>保护利用工作成效</w:t>
            </w:r>
            <w:r>
              <w:rPr>
                <w:rFonts w:hint="eastAsia" w:eastAsia="仿宋_GB2312" w:cs="Times New Roman"/>
                <w:color w:val="auto"/>
                <w:spacing w:val="1"/>
                <w:sz w:val="24"/>
                <w:szCs w:val="24"/>
                <w:highlight w:val="none"/>
                <w:lang w:val="en-US" w:eastAsia="zh-CN"/>
              </w:rPr>
              <w:t>方面</w:t>
            </w:r>
          </w:p>
        </w:tc>
        <w:tc>
          <w:tcPr>
            <w:tcW w:w="6455" w:type="dxa"/>
            <w:noWrap w:val="0"/>
            <w:vAlign w:val="center"/>
          </w:tcPr>
          <w:p>
            <w:pPr>
              <w:spacing w:line="280" w:lineRule="exact"/>
              <w:ind w:right="10" w:firstLine="480" w:firstLineChars="200"/>
              <w:rPr>
                <w:rFonts w:ascii="Times New Roman" w:hAnsi="Times New Roman" w:eastAsia="仿宋_GB2312"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102" w:hRule="atLeast"/>
        </w:trPr>
        <w:tc>
          <w:tcPr>
            <w:tcW w:w="2544" w:type="dxa"/>
            <w:noWrap w:val="0"/>
            <w:vAlign w:val="center"/>
          </w:tcPr>
          <w:p>
            <w:pPr>
              <w:spacing w:line="280" w:lineRule="exact"/>
              <w:ind w:right="10"/>
              <w:rPr>
                <w:rFonts w:hint="eastAsia" w:ascii="Times New Roman" w:hAnsi="Times New Roman" w:eastAsia="仿宋_GB2312" w:cs="Times New Roman"/>
                <w:color w:val="auto"/>
                <w:spacing w:val="1"/>
                <w:sz w:val="24"/>
                <w:szCs w:val="24"/>
                <w:highlight w:val="none"/>
                <w:lang w:val="en-US" w:eastAsia="zh-CN"/>
              </w:rPr>
            </w:pPr>
            <w:r>
              <w:rPr>
                <w:rFonts w:hint="eastAsia" w:eastAsia="仿宋_GB2312" w:cs="Times New Roman"/>
                <w:color w:val="auto"/>
                <w:spacing w:val="1"/>
                <w:sz w:val="24"/>
                <w:szCs w:val="24"/>
                <w:highlight w:val="none"/>
                <w:lang w:val="en-US" w:eastAsia="zh-CN"/>
              </w:rPr>
              <w:t>五、</w:t>
            </w:r>
            <w:r>
              <w:rPr>
                <w:rFonts w:hint="eastAsia" w:ascii="Times New Roman" w:hAnsi="Times New Roman" w:eastAsia="仿宋_GB2312" w:cs="Times New Roman"/>
                <w:color w:val="auto"/>
                <w:spacing w:val="1"/>
                <w:sz w:val="24"/>
                <w:szCs w:val="24"/>
                <w:highlight w:val="none"/>
                <w:lang w:val="en-US" w:eastAsia="zh-CN"/>
              </w:rPr>
              <w:t>保护活化利用实施项目情况</w:t>
            </w:r>
            <w:r>
              <w:rPr>
                <w:rFonts w:hint="eastAsia" w:eastAsia="仿宋_GB2312" w:cs="Times New Roman"/>
                <w:color w:val="auto"/>
                <w:spacing w:val="1"/>
                <w:sz w:val="24"/>
                <w:szCs w:val="24"/>
                <w:highlight w:val="none"/>
                <w:lang w:val="en-US" w:eastAsia="zh-CN"/>
              </w:rPr>
              <w:t>方面</w:t>
            </w:r>
          </w:p>
        </w:tc>
        <w:tc>
          <w:tcPr>
            <w:tcW w:w="6455" w:type="dxa"/>
            <w:noWrap w:val="0"/>
            <w:vAlign w:val="center"/>
          </w:tcPr>
          <w:p>
            <w:pPr>
              <w:spacing w:line="280" w:lineRule="exact"/>
              <w:ind w:right="10" w:firstLine="480" w:firstLineChars="200"/>
              <w:rPr>
                <w:rFonts w:ascii="Times New Roman" w:hAnsi="Times New Roman" w:eastAsia="仿宋_GB2312" w:cs="Times New Roman"/>
                <w:color w:val="auto"/>
                <w:sz w:val="24"/>
                <w:szCs w:val="24"/>
                <w:highlight w:val="none"/>
              </w:rPr>
            </w:pPr>
          </w:p>
        </w:tc>
      </w:tr>
    </w:tbl>
    <w:p>
      <w:pPr>
        <w:tabs>
          <w:tab w:val="left" w:pos="12960"/>
        </w:tabs>
        <w:spacing w:line="400" w:lineRule="exact"/>
        <w:rPr>
          <w:rFonts w:hint="eastAsia" w:eastAsia="黑体"/>
          <w:sz w:val="32"/>
          <w:szCs w:val="32"/>
          <w:lang w:eastAsia="zh-CN"/>
        </w:rPr>
      </w:pPr>
      <w:r>
        <w:rPr>
          <w:rFonts w:eastAsia="仿宋_GB2312"/>
          <w:b/>
          <w:bCs/>
          <w:sz w:val="24"/>
        </w:rPr>
        <w:br w:type="page"/>
      </w:r>
      <w:r>
        <w:rPr>
          <w:rFonts w:eastAsia="黑体"/>
          <w:sz w:val="32"/>
          <w:szCs w:val="32"/>
        </w:rPr>
        <w:t>附件</w:t>
      </w:r>
      <w:r>
        <w:rPr>
          <w:rFonts w:hint="eastAsia" w:eastAsia="仿宋_GB2312"/>
          <w:sz w:val="32"/>
          <w:szCs w:val="32"/>
          <w:lang w:val="en-US" w:eastAsia="zh-CN"/>
        </w:rPr>
        <w:t>2</w:t>
      </w:r>
    </w:p>
    <w:p>
      <w:pPr>
        <w:tabs>
          <w:tab w:val="left" w:pos="12960"/>
        </w:tabs>
        <w:spacing w:line="400" w:lineRule="exact"/>
        <w:rPr>
          <w:rFonts w:eastAsia="仿宋_GB2312"/>
          <w:sz w:val="32"/>
          <w:szCs w:val="32"/>
        </w:rPr>
      </w:pPr>
    </w:p>
    <w:p>
      <w:pPr>
        <w:spacing w:line="600" w:lineRule="exact"/>
        <w:jc w:val="center"/>
        <w:rPr>
          <w:rFonts w:hint="eastAsia" w:eastAsia="方正小标宋简体"/>
          <w:sz w:val="44"/>
          <w:szCs w:val="44"/>
          <w:lang w:eastAsia="zh-CN"/>
        </w:rPr>
      </w:pPr>
      <w:r>
        <w:rPr>
          <w:rFonts w:hint="eastAsia" w:eastAsia="方正小标宋简体"/>
          <w:sz w:val="44"/>
          <w:szCs w:val="44"/>
          <w:lang w:eastAsia="zh-CN"/>
        </w:rPr>
        <w:t>典型经验清单</w:t>
      </w:r>
    </w:p>
    <w:tbl>
      <w:tblPr>
        <w:tblStyle w:val="1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2055"/>
        <w:gridCol w:w="4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2322" w:type="dxa"/>
            <w:noWrap w:val="0"/>
            <w:vAlign w:val="center"/>
          </w:tcPr>
          <w:p>
            <w:pPr>
              <w:spacing w:line="280" w:lineRule="exact"/>
              <w:jc w:val="center"/>
              <w:rPr>
                <w:rFonts w:hint="eastAsia" w:ascii="黑体" w:hAnsi="黑体" w:eastAsia="黑体" w:cs="黑体"/>
                <w:b w:val="0"/>
                <w:bCs w:val="0"/>
                <w:color w:val="auto"/>
                <w:spacing w:val="-1"/>
                <w:sz w:val="24"/>
                <w:szCs w:val="24"/>
                <w:highlight w:val="none"/>
              </w:rPr>
            </w:pPr>
            <w:r>
              <w:rPr>
                <w:rFonts w:hint="eastAsia" w:ascii="黑体" w:hAnsi="黑体" w:eastAsia="黑体" w:cs="黑体"/>
                <w:b w:val="0"/>
                <w:bCs w:val="0"/>
                <w:color w:val="auto"/>
                <w:spacing w:val="-1"/>
                <w:sz w:val="24"/>
                <w:szCs w:val="24"/>
                <w:highlight w:val="none"/>
              </w:rPr>
              <w:t>工作内容</w:t>
            </w:r>
          </w:p>
        </w:tc>
        <w:tc>
          <w:tcPr>
            <w:tcW w:w="2055" w:type="dxa"/>
            <w:noWrap w:val="0"/>
            <w:vAlign w:val="center"/>
          </w:tcPr>
          <w:p>
            <w:pPr>
              <w:spacing w:line="280" w:lineRule="exact"/>
              <w:jc w:val="center"/>
              <w:rPr>
                <w:rFonts w:hint="eastAsia" w:ascii="黑体" w:hAnsi="黑体" w:eastAsia="黑体" w:cs="黑体"/>
                <w:b w:val="0"/>
                <w:bCs w:val="0"/>
                <w:color w:val="auto"/>
                <w:spacing w:val="-1"/>
                <w:sz w:val="24"/>
                <w:szCs w:val="24"/>
                <w:highlight w:val="none"/>
                <w:lang w:eastAsia="zh-CN"/>
              </w:rPr>
            </w:pPr>
            <w:r>
              <w:rPr>
                <w:rFonts w:hint="eastAsia" w:ascii="黑体" w:hAnsi="黑体" w:eastAsia="黑体" w:cs="黑体"/>
                <w:b w:val="0"/>
                <w:bCs w:val="0"/>
                <w:color w:val="auto"/>
                <w:spacing w:val="-1"/>
                <w:sz w:val="24"/>
                <w:szCs w:val="24"/>
                <w:highlight w:val="none"/>
              </w:rPr>
              <w:t>具体案例</w:t>
            </w:r>
            <w:r>
              <w:rPr>
                <w:rFonts w:hint="eastAsia" w:ascii="黑体" w:hAnsi="黑体" w:eastAsia="黑体" w:cs="黑体"/>
                <w:b w:val="0"/>
                <w:bCs w:val="0"/>
                <w:color w:val="auto"/>
                <w:spacing w:val="-1"/>
                <w:sz w:val="24"/>
                <w:szCs w:val="24"/>
                <w:highlight w:val="none"/>
                <w:lang w:eastAsia="zh-CN"/>
              </w:rPr>
              <w:t>名称</w:t>
            </w:r>
          </w:p>
        </w:tc>
        <w:tc>
          <w:tcPr>
            <w:tcW w:w="4662" w:type="dxa"/>
            <w:noWrap w:val="0"/>
            <w:vAlign w:val="center"/>
          </w:tcPr>
          <w:p>
            <w:pPr>
              <w:spacing w:line="280" w:lineRule="exact"/>
              <w:jc w:val="center"/>
              <w:rPr>
                <w:rFonts w:hint="eastAsia" w:ascii="黑体" w:hAnsi="黑体" w:eastAsia="黑体" w:cs="黑体"/>
                <w:b w:val="0"/>
                <w:bCs w:val="0"/>
                <w:color w:val="auto"/>
                <w:spacing w:val="-1"/>
                <w:sz w:val="24"/>
                <w:szCs w:val="24"/>
                <w:highlight w:val="none"/>
                <w:lang w:eastAsia="zh-CN"/>
              </w:rPr>
            </w:pPr>
            <w:r>
              <w:rPr>
                <w:rFonts w:hint="eastAsia" w:ascii="黑体" w:hAnsi="黑体" w:eastAsia="黑体" w:cs="黑体"/>
                <w:b w:val="0"/>
                <w:bCs w:val="0"/>
                <w:color w:val="auto"/>
                <w:spacing w:val="-1"/>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0" w:hRule="atLeast"/>
        </w:trPr>
        <w:tc>
          <w:tcPr>
            <w:tcW w:w="2322" w:type="dxa"/>
            <w:noWrap w:val="0"/>
            <w:vAlign w:val="center"/>
          </w:tcPr>
          <w:p>
            <w:pPr>
              <w:spacing w:line="280" w:lineRule="exact"/>
              <w:ind w:right="10"/>
              <w:rPr>
                <w:rFonts w:hint="eastAsia" w:eastAsia="仿宋_GB2312" w:cs="Times New Roman"/>
                <w:color w:val="auto"/>
                <w:spacing w:val="1"/>
                <w:sz w:val="24"/>
                <w:szCs w:val="24"/>
                <w:highlight w:val="none"/>
                <w:lang w:val="en-US" w:eastAsia="zh-CN"/>
              </w:rPr>
            </w:pPr>
            <w:r>
              <w:rPr>
                <w:rFonts w:hint="eastAsia" w:eastAsia="仿宋_GB2312" w:cs="Times New Roman"/>
                <w:color w:val="auto"/>
                <w:spacing w:val="1"/>
                <w:sz w:val="24"/>
                <w:szCs w:val="24"/>
                <w:highlight w:val="none"/>
                <w:lang w:val="en-US" w:eastAsia="zh-CN"/>
              </w:rPr>
              <w:t>一、落实中央、省级文件精神情况方面</w:t>
            </w:r>
          </w:p>
        </w:tc>
        <w:tc>
          <w:tcPr>
            <w:tcW w:w="2055" w:type="dxa"/>
            <w:noWrap w:val="0"/>
            <w:vAlign w:val="top"/>
          </w:tcPr>
          <w:p>
            <w:pPr>
              <w:spacing w:line="280" w:lineRule="exact"/>
              <w:ind w:right="10"/>
              <w:rPr>
                <w:rFonts w:hint="eastAsia" w:ascii="Times New Roman" w:hAnsi="Times New Roman" w:eastAsia="仿宋_GB2312" w:cs="Times New Roman"/>
                <w:color w:val="auto"/>
                <w:spacing w:val="1"/>
                <w:kern w:val="2"/>
                <w:sz w:val="24"/>
                <w:szCs w:val="24"/>
                <w:highlight w:val="none"/>
                <w:lang w:val="en-US" w:eastAsia="zh-CN" w:bidi="ar-SA"/>
              </w:rPr>
            </w:pPr>
          </w:p>
          <w:p>
            <w:pPr>
              <w:bidi w:val="0"/>
              <w:rPr>
                <w:rFonts w:hint="eastAsia" w:ascii="Times New Roman" w:hAnsi="Times New Roman" w:eastAsia="仿宋_GB2312" w:cs="Times New Roman"/>
                <w:color w:val="auto"/>
                <w:spacing w:val="1"/>
                <w:kern w:val="2"/>
                <w:sz w:val="24"/>
                <w:szCs w:val="24"/>
                <w:highlight w:val="none"/>
                <w:lang w:val="en-US" w:eastAsia="zh-CN" w:bidi="ar-SA"/>
              </w:rPr>
            </w:pPr>
          </w:p>
          <w:p>
            <w:pPr>
              <w:bidi w:val="0"/>
              <w:jc w:val="center"/>
              <w:rPr>
                <w:rFonts w:hint="eastAsia" w:ascii="Times New Roman" w:hAnsi="Times New Roman" w:eastAsia="仿宋_GB2312" w:cs="Times New Roman"/>
                <w:color w:val="auto"/>
                <w:spacing w:val="1"/>
                <w:kern w:val="2"/>
                <w:sz w:val="24"/>
                <w:szCs w:val="24"/>
                <w:highlight w:val="none"/>
                <w:lang w:val="en-US" w:eastAsia="zh-CN" w:bidi="ar-SA"/>
              </w:rPr>
            </w:pPr>
            <w:r>
              <w:rPr>
                <w:rFonts w:hint="eastAsia" w:ascii="Times New Roman" w:hAnsi="Times New Roman" w:eastAsia="仿宋_GB2312" w:cs="Times New Roman"/>
                <w:color w:val="auto"/>
                <w:spacing w:val="1"/>
                <w:kern w:val="2"/>
                <w:sz w:val="24"/>
                <w:szCs w:val="24"/>
                <w:highlight w:val="none"/>
                <w:lang w:val="en-US" w:eastAsia="zh-CN" w:bidi="ar-SA"/>
              </w:rPr>
              <w:t>建立城市更新改造中文化遗产先普查后征收制度</w:t>
            </w:r>
          </w:p>
        </w:tc>
        <w:tc>
          <w:tcPr>
            <w:tcW w:w="4662" w:type="dxa"/>
            <w:noWrap w:val="0"/>
            <w:vAlign w:val="top"/>
          </w:tcPr>
          <w:p>
            <w:pPr>
              <w:spacing w:line="280" w:lineRule="exact"/>
              <w:ind w:right="10"/>
              <w:rPr>
                <w:rFonts w:hint="eastAsia" w:ascii="Times New Roman" w:hAnsi="Times New Roman" w:eastAsia="仿宋_GB2312" w:cs="Times New Roman"/>
                <w:color w:val="auto"/>
                <w:spacing w:val="1"/>
                <w:kern w:val="2"/>
                <w:sz w:val="24"/>
                <w:szCs w:val="24"/>
                <w:highlight w:val="none"/>
                <w:lang w:val="en-US" w:eastAsia="zh-CN" w:bidi="ar-SA"/>
              </w:rPr>
            </w:pPr>
            <w:r>
              <w:rPr>
                <w:rFonts w:hint="eastAsia" w:ascii="Times New Roman" w:hAnsi="Times New Roman" w:eastAsia="仿宋_GB2312" w:cs="Times New Roman"/>
                <w:color w:val="auto"/>
                <w:spacing w:val="1"/>
                <w:kern w:val="2"/>
                <w:sz w:val="24"/>
                <w:szCs w:val="24"/>
                <w:highlight w:val="none"/>
                <w:lang w:val="en-US" w:eastAsia="zh-CN" w:bidi="ar-SA"/>
              </w:rPr>
              <w:t>对列入征迁项目开展历史文化遗产普查，对50年以上的建筑进行普查甄别，开展文化资源评估论证，提出保护措施。累计已实施文化遗产普查甄别项目8个，涉及项目面积667.64公顷，共摸排征迁建筑数量2820栋，发现建成50年以上的建筑 134栋，已全部明确提出处置意见。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0" w:hRule="atLeast"/>
        </w:trPr>
        <w:tc>
          <w:tcPr>
            <w:tcW w:w="2322" w:type="dxa"/>
            <w:noWrap w:val="0"/>
            <w:vAlign w:val="center"/>
          </w:tcPr>
          <w:p>
            <w:pPr>
              <w:spacing w:line="280" w:lineRule="exact"/>
              <w:ind w:right="10" w:rightChars="0"/>
              <w:jc w:val="center"/>
              <w:rPr>
                <w:rFonts w:ascii="Times New Roman" w:hAnsi="Times New Roman" w:eastAsia="仿宋_GB2312" w:cs="Times New Roman"/>
                <w:color w:val="auto"/>
                <w:spacing w:val="1"/>
                <w:kern w:val="2"/>
                <w:sz w:val="24"/>
                <w:szCs w:val="24"/>
                <w:highlight w:val="none"/>
                <w:lang w:val="en-US" w:eastAsia="zh-CN" w:bidi="ar-SA"/>
              </w:rPr>
            </w:pPr>
            <w:r>
              <w:rPr>
                <w:rFonts w:hint="eastAsia" w:eastAsia="仿宋_GB2312" w:cs="Times New Roman"/>
                <w:color w:val="auto"/>
                <w:spacing w:val="1"/>
                <w:sz w:val="24"/>
                <w:szCs w:val="24"/>
                <w:highlight w:val="none"/>
                <w:lang w:val="en-US" w:eastAsia="zh-CN"/>
              </w:rPr>
              <w:t>二、</w:t>
            </w:r>
            <w:r>
              <w:rPr>
                <w:rFonts w:hint="eastAsia" w:ascii="Times New Roman" w:hAnsi="Times New Roman" w:eastAsia="仿宋_GB2312" w:cs="Times New Roman"/>
                <w:color w:val="auto"/>
                <w:spacing w:val="1"/>
                <w:sz w:val="24"/>
                <w:szCs w:val="24"/>
                <w:highlight w:val="none"/>
                <w:lang w:val="en-US" w:eastAsia="zh-CN"/>
              </w:rPr>
              <w:t>历史文化资源调查评估、认定公布和保护管理情况</w:t>
            </w:r>
            <w:r>
              <w:rPr>
                <w:rFonts w:hint="eastAsia" w:eastAsia="仿宋_GB2312" w:cs="Times New Roman"/>
                <w:color w:val="auto"/>
                <w:spacing w:val="1"/>
                <w:sz w:val="24"/>
                <w:szCs w:val="24"/>
                <w:highlight w:val="none"/>
                <w:lang w:val="en-US" w:eastAsia="zh-CN"/>
              </w:rPr>
              <w:t>方面</w:t>
            </w:r>
          </w:p>
        </w:tc>
        <w:tc>
          <w:tcPr>
            <w:tcW w:w="205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outlineLvl w:val="0"/>
              <w:rPr>
                <w:rFonts w:hint="eastAsia" w:ascii="Times New Roman" w:hAnsi="Times New Roman" w:eastAsia="仿宋_GB2312" w:cs="Times New Roman"/>
                <w:color w:val="auto"/>
                <w:spacing w:val="1"/>
                <w:kern w:val="2"/>
                <w:sz w:val="24"/>
                <w:szCs w:val="24"/>
                <w:highlight w:val="none"/>
                <w:lang w:val="en-US" w:eastAsia="zh-CN" w:bidi="ar-SA"/>
              </w:rPr>
            </w:pPr>
            <w:r>
              <w:rPr>
                <w:rFonts w:hint="eastAsia" w:ascii="Times New Roman" w:hAnsi="Times New Roman" w:eastAsia="仿宋_GB2312" w:cs="Times New Roman"/>
                <w:color w:val="auto"/>
                <w:spacing w:val="1"/>
                <w:kern w:val="2"/>
                <w:sz w:val="24"/>
                <w:szCs w:val="24"/>
                <w:highlight w:val="none"/>
                <w:lang w:val="en-US" w:eastAsia="zh-CN" w:bidi="ar-SA"/>
              </w:rPr>
              <w:t>建立传统村落数字博物馆晋江村落馆</w:t>
            </w:r>
          </w:p>
        </w:tc>
        <w:tc>
          <w:tcPr>
            <w:tcW w:w="466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outlineLvl w:val="0"/>
              <w:rPr>
                <w:rFonts w:hint="eastAsia" w:ascii="Times New Roman" w:hAnsi="Times New Roman" w:eastAsia="仿宋_GB2312" w:cs="Times New Roman"/>
                <w:color w:val="auto"/>
                <w:spacing w:val="1"/>
                <w:kern w:val="2"/>
                <w:sz w:val="24"/>
                <w:szCs w:val="24"/>
                <w:highlight w:val="none"/>
                <w:lang w:val="en-US" w:eastAsia="zh-CN" w:bidi="ar-SA"/>
              </w:rPr>
            </w:pPr>
            <w:r>
              <w:rPr>
                <w:rFonts w:hint="eastAsia" w:ascii="Times New Roman" w:hAnsi="Times New Roman" w:eastAsia="仿宋_GB2312" w:cs="Times New Roman"/>
                <w:color w:val="auto"/>
                <w:spacing w:val="1"/>
                <w:kern w:val="2"/>
                <w:sz w:val="24"/>
                <w:szCs w:val="24"/>
                <w:highlight w:val="none"/>
                <w:lang w:val="en-US" w:eastAsia="zh-CN" w:bidi="ar-SA"/>
              </w:rPr>
              <w:t>我市委托中国城市规划设计研究院，在中国传统村落数字博物馆平台建设晋江市九个传统村落单馆，每个村落单馆全面记录村落概况、全景展示、历史文化、环境格局、传统建筑、民俗文化、美食物产、旅游导览等8大板块内容，现9个传统村落单馆均已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0" w:hRule="atLeast"/>
        </w:trPr>
        <w:tc>
          <w:tcPr>
            <w:tcW w:w="2322" w:type="dxa"/>
            <w:noWrap w:val="0"/>
            <w:vAlign w:val="center"/>
          </w:tcPr>
          <w:p>
            <w:pPr>
              <w:spacing w:line="280" w:lineRule="exact"/>
              <w:ind w:right="10" w:rightChars="0"/>
              <w:rPr>
                <w:rFonts w:ascii="Times New Roman" w:hAnsi="Times New Roman" w:eastAsia="仿宋_GB2312" w:cs="Times New Roman"/>
                <w:color w:val="auto"/>
                <w:spacing w:val="1"/>
                <w:kern w:val="2"/>
                <w:sz w:val="24"/>
                <w:szCs w:val="24"/>
                <w:highlight w:val="none"/>
                <w:lang w:val="en-US" w:eastAsia="zh-CN" w:bidi="ar-SA"/>
              </w:rPr>
            </w:pPr>
            <w:r>
              <w:rPr>
                <w:rFonts w:hint="eastAsia" w:eastAsia="仿宋_GB2312" w:cs="Times New Roman"/>
                <w:color w:val="auto"/>
                <w:spacing w:val="1"/>
                <w:sz w:val="24"/>
                <w:szCs w:val="24"/>
                <w:highlight w:val="none"/>
                <w:lang w:val="en-US" w:eastAsia="zh-CN"/>
              </w:rPr>
              <w:t>三、</w:t>
            </w:r>
            <w:r>
              <w:rPr>
                <w:rFonts w:hint="eastAsia" w:ascii="Times New Roman" w:hAnsi="Times New Roman" w:eastAsia="仿宋_GB2312" w:cs="Times New Roman"/>
                <w:color w:val="auto"/>
                <w:spacing w:val="1"/>
                <w:sz w:val="24"/>
                <w:szCs w:val="24"/>
                <w:highlight w:val="none"/>
                <w:lang w:val="en-US" w:eastAsia="zh-CN"/>
              </w:rPr>
              <w:t>保护管理责任落实情况</w:t>
            </w:r>
            <w:r>
              <w:rPr>
                <w:rFonts w:hint="eastAsia" w:eastAsia="仿宋_GB2312" w:cs="Times New Roman"/>
                <w:color w:val="auto"/>
                <w:spacing w:val="1"/>
                <w:sz w:val="24"/>
                <w:szCs w:val="24"/>
                <w:highlight w:val="none"/>
                <w:lang w:val="en-US" w:eastAsia="zh-CN"/>
              </w:rPr>
              <w:t>方面</w:t>
            </w:r>
          </w:p>
        </w:tc>
        <w:tc>
          <w:tcPr>
            <w:tcW w:w="205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outlineLvl w:val="0"/>
              <w:rPr>
                <w:rFonts w:hint="eastAsia" w:ascii="Times New Roman" w:hAnsi="Times New Roman" w:eastAsia="仿宋_GB2312" w:cs="Times New Roman"/>
                <w:color w:val="auto"/>
                <w:spacing w:val="1"/>
                <w:kern w:val="2"/>
                <w:sz w:val="24"/>
                <w:szCs w:val="24"/>
                <w:highlight w:val="none"/>
                <w:lang w:val="en-US" w:eastAsia="zh-CN" w:bidi="ar-SA"/>
              </w:rPr>
            </w:pPr>
            <w:r>
              <w:rPr>
                <w:rFonts w:hint="eastAsia" w:eastAsia="仿宋_GB2312" w:cs="Times New Roman"/>
                <w:color w:val="auto"/>
                <w:spacing w:val="1"/>
                <w:kern w:val="2"/>
                <w:sz w:val="24"/>
                <w:szCs w:val="24"/>
                <w:highlight w:val="none"/>
                <w:lang w:val="en-US" w:eastAsia="zh-CN" w:bidi="ar-SA"/>
              </w:rPr>
              <w:t>开展历史建筑消防安全隐患排查整治</w:t>
            </w:r>
          </w:p>
        </w:tc>
        <w:tc>
          <w:tcPr>
            <w:tcW w:w="466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outlineLvl w:val="0"/>
              <w:rPr>
                <w:rFonts w:hint="default" w:ascii="Times New Roman" w:hAnsi="Times New Roman" w:eastAsia="仿宋_GB2312" w:cs="Times New Roman"/>
                <w:color w:val="auto"/>
                <w:spacing w:val="1"/>
                <w:kern w:val="2"/>
                <w:sz w:val="24"/>
                <w:szCs w:val="24"/>
                <w:highlight w:val="none"/>
                <w:lang w:val="en-US" w:eastAsia="zh-CN" w:bidi="ar-SA"/>
              </w:rPr>
            </w:pPr>
            <w:r>
              <w:rPr>
                <w:rFonts w:hint="eastAsia" w:eastAsia="仿宋_GB2312" w:cs="Times New Roman"/>
                <w:color w:val="auto"/>
                <w:spacing w:val="1"/>
                <w:kern w:val="2"/>
                <w:sz w:val="24"/>
                <w:szCs w:val="24"/>
                <w:highlight w:val="none"/>
                <w:lang w:val="en-US" w:eastAsia="zh-CN" w:bidi="ar-SA"/>
              </w:rPr>
              <w:t>对全市285栋历史建筑开展消防安全隐患排查整治，共发现一般隐患建筑65栋，一般隐患问题103个，已完成整改。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0" w:hRule="atLeast"/>
        </w:trPr>
        <w:tc>
          <w:tcPr>
            <w:tcW w:w="2322" w:type="dxa"/>
            <w:noWrap w:val="0"/>
            <w:vAlign w:val="center"/>
          </w:tcPr>
          <w:p>
            <w:pPr>
              <w:spacing w:line="280" w:lineRule="exact"/>
              <w:ind w:right="10" w:rightChars="0"/>
              <w:rPr>
                <w:rFonts w:ascii="Times New Roman" w:hAnsi="Times New Roman" w:eastAsia="仿宋_GB2312" w:cs="Times New Roman"/>
                <w:color w:val="auto"/>
                <w:spacing w:val="1"/>
                <w:kern w:val="2"/>
                <w:sz w:val="24"/>
                <w:szCs w:val="24"/>
                <w:highlight w:val="none"/>
                <w:lang w:val="en-US" w:eastAsia="zh-CN" w:bidi="ar-SA"/>
              </w:rPr>
            </w:pPr>
            <w:r>
              <w:rPr>
                <w:rFonts w:hint="eastAsia" w:eastAsia="仿宋_GB2312" w:cs="Times New Roman"/>
                <w:color w:val="auto"/>
                <w:spacing w:val="1"/>
                <w:sz w:val="24"/>
                <w:szCs w:val="24"/>
                <w:highlight w:val="none"/>
                <w:lang w:val="en-US" w:eastAsia="zh-CN"/>
              </w:rPr>
              <w:t>四、</w:t>
            </w:r>
            <w:r>
              <w:rPr>
                <w:rFonts w:hint="eastAsia" w:ascii="Times New Roman" w:hAnsi="Times New Roman" w:eastAsia="仿宋_GB2312" w:cs="Times New Roman"/>
                <w:color w:val="auto"/>
                <w:spacing w:val="1"/>
                <w:sz w:val="24"/>
                <w:szCs w:val="24"/>
                <w:highlight w:val="none"/>
                <w:lang w:val="en-US" w:eastAsia="zh-CN"/>
              </w:rPr>
              <w:t>保护利用工作成效</w:t>
            </w:r>
            <w:r>
              <w:rPr>
                <w:rFonts w:hint="eastAsia" w:eastAsia="仿宋_GB2312" w:cs="Times New Roman"/>
                <w:color w:val="auto"/>
                <w:spacing w:val="1"/>
                <w:sz w:val="24"/>
                <w:szCs w:val="24"/>
                <w:highlight w:val="none"/>
                <w:lang w:val="en-US" w:eastAsia="zh-CN"/>
              </w:rPr>
              <w:t>方面</w:t>
            </w:r>
          </w:p>
        </w:tc>
        <w:tc>
          <w:tcPr>
            <w:tcW w:w="205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outlineLvl w:val="0"/>
              <w:rPr>
                <w:rFonts w:ascii="方正小标宋简体" w:hAnsi="华文中宋" w:eastAsia="方正小标宋简体"/>
                <w:color w:val="auto"/>
                <w:sz w:val="24"/>
                <w:highlight w:val="none"/>
              </w:rPr>
            </w:pPr>
            <w:r>
              <w:rPr>
                <w:rFonts w:hint="eastAsia" w:ascii="Times New Roman" w:hAnsi="Times New Roman" w:eastAsia="仿宋_GB2312" w:cs="Times New Roman"/>
                <w:color w:val="auto"/>
                <w:spacing w:val="1"/>
                <w:kern w:val="2"/>
                <w:sz w:val="24"/>
                <w:szCs w:val="24"/>
                <w:highlight w:val="none"/>
                <w:lang w:val="en-US" w:eastAsia="zh-CN" w:bidi="ar-SA"/>
              </w:rPr>
              <w:t>实施9个传统村落重点改善提升项目</w:t>
            </w:r>
          </w:p>
        </w:tc>
        <w:tc>
          <w:tcPr>
            <w:tcW w:w="466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outlineLvl w:val="0"/>
              <w:rPr>
                <w:rFonts w:ascii="方正小标宋简体" w:hAnsi="华文中宋" w:eastAsia="方正小标宋简体"/>
                <w:color w:val="auto"/>
                <w:sz w:val="24"/>
                <w:highlight w:val="none"/>
              </w:rPr>
            </w:pPr>
            <w:r>
              <w:rPr>
                <w:rFonts w:hint="eastAsia" w:ascii="Times New Roman" w:hAnsi="Times New Roman" w:eastAsia="仿宋_GB2312" w:cs="Times New Roman"/>
                <w:color w:val="auto"/>
                <w:spacing w:val="1"/>
                <w:kern w:val="2"/>
                <w:sz w:val="24"/>
                <w:szCs w:val="24"/>
                <w:highlight w:val="none"/>
                <w:lang w:val="en-US" w:eastAsia="zh-CN" w:bidi="ar-SA"/>
              </w:rPr>
              <w:t>实施9个传统村落重点改善提升项目，实施历史建筑修缮、供水、排水、供气、环卫、公厕等补短板设施，2024年度已完成投资14</w:t>
            </w:r>
            <w:r>
              <w:rPr>
                <w:rFonts w:hint="eastAsia" w:eastAsia="仿宋_GB2312" w:cs="Times New Roman"/>
                <w:color w:val="auto"/>
                <w:spacing w:val="1"/>
                <w:kern w:val="2"/>
                <w:sz w:val="24"/>
                <w:szCs w:val="24"/>
                <w:highlight w:val="none"/>
                <w:lang w:val="en-US" w:eastAsia="zh-CN" w:bidi="ar-SA"/>
              </w:rPr>
              <w:t>955</w:t>
            </w:r>
            <w:r>
              <w:rPr>
                <w:rFonts w:hint="eastAsia" w:ascii="Times New Roman" w:hAnsi="Times New Roman" w:eastAsia="仿宋_GB2312" w:cs="Times New Roman"/>
                <w:color w:val="auto"/>
                <w:spacing w:val="1"/>
                <w:kern w:val="2"/>
                <w:sz w:val="24"/>
                <w:szCs w:val="24"/>
                <w:highlight w:val="none"/>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0" w:hRule="atLeast"/>
        </w:trPr>
        <w:tc>
          <w:tcPr>
            <w:tcW w:w="2322" w:type="dxa"/>
            <w:noWrap w:val="0"/>
            <w:vAlign w:val="center"/>
          </w:tcPr>
          <w:p>
            <w:pPr>
              <w:spacing w:line="280" w:lineRule="exact"/>
              <w:ind w:right="10" w:rightChars="0"/>
              <w:rPr>
                <w:rFonts w:hint="eastAsia" w:ascii="Times New Roman" w:hAnsi="Times New Roman" w:eastAsia="仿宋_GB2312" w:cs="Times New Roman"/>
                <w:color w:val="auto"/>
                <w:spacing w:val="1"/>
                <w:kern w:val="2"/>
                <w:sz w:val="24"/>
                <w:szCs w:val="24"/>
                <w:highlight w:val="none"/>
                <w:lang w:val="en-US" w:eastAsia="zh-CN" w:bidi="ar-SA"/>
              </w:rPr>
            </w:pPr>
            <w:r>
              <w:rPr>
                <w:rFonts w:hint="eastAsia" w:eastAsia="仿宋_GB2312" w:cs="Times New Roman"/>
                <w:color w:val="auto"/>
                <w:spacing w:val="1"/>
                <w:sz w:val="24"/>
                <w:szCs w:val="24"/>
                <w:highlight w:val="none"/>
                <w:lang w:val="en-US" w:eastAsia="zh-CN"/>
              </w:rPr>
              <w:t>五、</w:t>
            </w:r>
            <w:r>
              <w:rPr>
                <w:rFonts w:hint="eastAsia" w:ascii="Times New Roman" w:hAnsi="Times New Roman" w:eastAsia="仿宋_GB2312" w:cs="Times New Roman"/>
                <w:color w:val="auto"/>
                <w:spacing w:val="1"/>
                <w:sz w:val="24"/>
                <w:szCs w:val="24"/>
                <w:highlight w:val="none"/>
                <w:lang w:val="en-US" w:eastAsia="zh-CN"/>
              </w:rPr>
              <w:t>保护活化利用实施项目情况</w:t>
            </w:r>
            <w:r>
              <w:rPr>
                <w:rFonts w:hint="eastAsia" w:eastAsia="仿宋_GB2312" w:cs="Times New Roman"/>
                <w:color w:val="auto"/>
                <w:spacing w:val="1"/>
                <w:sz w:val="24"/>
                <w:szCs w:val="24"/>
                <w:highlight w:val="none"/>
                <w:lang w:val="en-US" w:eastAsia="zh-CN"/>
              </w:rPr>
              <w:t>方面</w:t>
            </w:r>
          </w:p>
        </w:tc>
        <w:tc>
          <w:tcPr>
            <w:tcW w:w="205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outlineLvl w:val="0"/>
              <w:rPr>
                <w:rFonts w:hint="eastAsia" w:ascii="Times New Roman" w:hAnsi="Times New Roman" w:eastAsia="仿宋_GB2312" w:cs="Times New Roman"/>
                <w:color w:val="auto"/>
                <w:spacing w:val="1"/>
                <w:kern w:val="2"/>
                <w:sz w:val="24"/>
                <w:szCs w:val="24"/>
                <w:highlight w:val="none"/>
                <w:lang w:val="en-US" w:eastAsia="zh-CN" w:bidi="ar-SA"/>
              </w:rPr>
            </w:pPr>
            <w:r>
              <w:rPr>
                <w:rFonts w:hint="eastAsia" w:ascii="Times New Roman" w:hAnsi="Times New Roman" w:eastAsia="仿宋_GB2312" w:cs="Times New Roman"/>
                <w:color w:val="auto"/>
                <w:spacing w:val="1"/>
                <w:kern w:val="2"/>
                <w:sz w:val="24"/>
                <w:szCs w:val="24"/>
                <w:highlight w:val="none"/>
                <w:lang w:val="en-US" w:eastAsia="zh-CN" w:bidi="ar-SA"/>
              </w:rPr>
              <w:t>实施“刺桐侨厝”保护利用三年行动</w:t>
            </w:r>
          </w:p>
        </w:tc>
        <w:tc>
          <w:tcPr>
            <w:tcW w:w="466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outlineLvl w:val="0"/>
              <w:rPr>
                <w:rFonts w:hint="eastAsia" w:ascii="Times New Roman" w:hAnsi="Times New Roman" w:eastAsia="仿宋_GB2312" w:cs="Times New Roman"/>
                <w:color w:val="auto"/>
                <w:spacing w:val="1"/>
                <w:kern w:val="2"/>
                <w:sz w:val="24"/>
                <w:szCs w:val="24"/>
                <w:highlight w:val="none"/>
                <w:lang w:val="en-US" w:eastAsia="zh-CN" w:bidi="ar-SA"/>
              </w:rPr>
            </w:pPr>
            <w:r>
              <w:rPr>
                <w:rFonts w:hint="eastAsia" w:ascii="Times New Roman" w:hAnsi="Times New Roman" w:eastAsia="仿宋_GB2312" w:cs="Times New Roman"/>
                <w:color w:val="auto"/>
                <w:spacing w:val="1"/>
                <w:kern w:val="2"/>
                <w:sz w:val="24"/>
                <w:szCs w:val="24"/>
                <w:highlight w:val="none"/>
                <w:lang w:val="en-US" w:eastAsia="zh-CN" w:bidi="ar-SA"/>
              </w:rPr>
              <w:t>晋江市大力实施“刺桐侨厝”保护利用三年专项行动，制定方案，进行调查摸底，确定2024年度华侨</w:t>
            </w:r>
            <w:bookmarkStart w:id="0" w:name="_GoBack"/>
            <w:bookmarkEnd w:id="0"/>
            <w:r>
              <w:rPr>
                <w:rFonts w:hint="eastAsia" w:ascii="Times New Roman" w:hAnsi="Times New Roman" w:eastAsia="仿宋_GB2312" w:cs="Times New Roman"/>
                <w:color w:val="auto"/>
                <w:spacing w:val="1"/>
                <w:kern w:val="2"/>
                <w:sz w:val="24"/>
                <w:szCs w:val="24"/>
                <w:highlight w:val="none"/>
                <w:lang w:val="en-US" w:eastAsia="zh-CN" w:bidi="ar-SA"/>
              </w:rPr>
              <w:t>建筑群及10栋零星华侨建筑清单，启动灵水传统村落华侨建筑群（一期）重点保护提升项目和10栋零星华侨建筑修缮项目，目前已完成修缮施工。</w:t>
            </w:r>
          </w:p>
        </w:tc>
      </w:tr>
    </w:tbl>
    <w:p>
      <w:pPr>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8" w:header="851" w:footer="85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tabs>
                              <w:tab w:val="left" w:pos="720"/>
                            </w:tabs>
                            <w:ind w:right="210" w:rightChars="100"/>
                            <w:rPr>
                              <w:rStyle w:val="12"/>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Style w:val="12"/>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12"/>
                              <w:rFonts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oo7bIBAABZAwAADgAAAGRycy9lMm9Eb2MueG1srVPNjtMwEL4j8Q6W&#10;7zTZaoW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Zaoo7bIB&#10;AABZAwAADgAAAAAAAAABACAAAAAeAQAAZHJzL2Uyb0RvYy54bWxQSwUGAAAAAAYABgBZAQAAQgUA&#10;AAAA&#10;">
              <v:fill on="f" focussize="0,0"/>
              <v:stroke on="f"/>
              <v:imagedata o:title=""/>
              <o:lock v:ext="edit" aspectratio="f"/>
              <v:textbox inset="0mm,0mm,0mm,0mm" style="mso-fit-shape-to-text:t;">
                <w:txbxContent>
                  <w:p>
                    <w:pPr>
                      <w:pStyle w:val="7"/>
                      <w:tabs>
                        <w:tab w:val="left" w:pos="720"/>
                      </w:tabs>
                      <w:ind w:right="210" w:rightChars="100"/>
                      <w:rPr>
                        <w:rStyle w:val="12"/>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Style w:val="12"/>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12"/>
                        <w:rFonts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ind w:firstLine="280" w:firstLineChars="100"/>
                            <w:rPr>
                              <w:rStyle w:val="12"/>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Style w:val="12"/>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12"/>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0FK7IBAABZAwAADgAAAGRycy9lMm9Eb2MueG1srVPNjtMwEL4j8Q6W&#10;7zTZSou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tR0FK7IB&#10;AABZAwAADgAAAAAAAAABACAAAAAeAQAAZHJzL2Uyb0RvYy54bWxQSwUGAAAAAAYABgBZAQAAQgUA&#10;AAAA&#10;">
              <v:fill on="f" focussize="0,0"/>
              <v:stroke on="f"/>
              <v:imagedata o:title=""/>
              <o:lock v:ext="edit" aspectratio="f"/>
              <v:textbox inset="0mm,0mm,0mm,0mm" style="mso-fit-shape-to-text:t;">
                <w:txbxContent>
                  <w:p>
                    <w:pPr>
                      <w:pStyle w:val="7"/>
                      <w:ind w:firstLine="280" w:firstLineChars="100"/>
                      <w:rPr>
                        <w:rStyle w:val="12"/>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Style w:val="12"/>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12"/>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- 7 -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YQVhSwAQAA&#10;WQMAAA4AAAAAAAAAAQAgAAAAHgEAAGRycy9lMm9Eb2MueG1sUEsFBgAAAAAGAAYAWQEAAEAFAAAA&#10;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ABEEE"/>
    <w:multiLevelType w:val="singleLevel"/>
    <w:tmpl w:val="73FABEE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61436"/>
    <w:rsid w:val="002C7A05"/>
    <w:rsid w:val="0062128B"/>
    <w:rsid w:val="00652496"/>
    <w:rsid w:val="006727E3"/>
    <w:rsid w:val="006B0B29"/>
    <w:rsid w:val="00722546"/>
    <w:rsid w:val="007B04FB"/>
    <w:rsid w:val="00843A42"/>
    <w:rsid w:val="008C6A66"/>
    <w:rsid w:val="009F15EB"/>
    <w:rsid w:val="00A81F0B"/>
    <w:rsid w:val="00B924CB"/>
    <w:rsid w:val="00DC291D"/>
    <w:rsid w:val="00E7078A"/>
    <w:rsid w:val="00EB063A"/>
    <w:rsid w:val="00F25474"/>
    <w:rsid w:val="00F63161"/>
    <w:rsid w:val="01275750"/>
    <w:rsid w:val="01B61E32"/>
    <w:rsid w:val="02D07E94"/>
    <w:rsid w:val="035402F1"/>
    <w:rsid w:val="052A766B"/>
    <w:rsid w:val="05511539"/>
    <w:rsid w:val="0631570D"/>
    <w:rsid w:val="064018A4"/>
    <w:rsid w:val="07251322"/>
    <w:rsid w:val="07463471"/>
    <w:rsid w:val="07870CB5"/>
    <w:rsid w:val="082F5F4B"/>
    <w:rsid w:val="08395425"/>
    <w:rsid w:val="088F35F5"/>
    <w:rsid w:val="08BB7DE5"/>
    <w:rsid w:val="08D45709"/>
    <w:rsid w:val="08E2227B"/>
    <w:rsid w:val="097073DD"/>
    <w:rsid w:val="0A026E60"/>
    <w:rsid w:val="0A964D20"/>
    <w:rsid w:val="0AAB0572"/>
    <w:rsid w:val="0ABC2AF6"/>
    <w:rsid w:val="0B35628D"/>
    <w:rsid w:val="0B470537"/>
    <w:rsid w:val="0B7C2FD1"/>
    <w:rsid w:val="0B9401E8"/>
    <w:rsid w:val="0B9C092A"/>
    <w:rsid w:val="0B9C2FB4"/>
    <w:rsid w:val="0BAF60EF"/>
    <w:rsid w:val="0C591D95"/>
    <w:rsid w:val="0CC403B9"/>
    <w:rsid w:val="0CFE1182"/>
    <w:rsid w:val="0D582D59"/>
    <w:rsid w:val="0D9F2034"/>
    <w:rsid w:val="0DDC19AC"/>
    <w:rsid w:val="0E0757D4"/>
    <w:rsid w:val="0E5503AF"/>
    <w:rsid w:val="0E942556"/>
    <w:rsid w:val="0EFD537C"/>
    <w:rsid w:val="0F0D71CA"/>
    <w:rsid w:val="0F212D73"/>
    <w:rsid w:val="0F4721C5"/>
    <w:rsid w:val="0FC22D39"/>
    <w:rsid w:val="102A51D9"/>
    <w:rsid w:val="10B43CB3"/>
    <w:rsid w:val="10FC4E2C"/>
    <w:rsid w:val="113E4148"/>
    <w:rsid w:val="11433205"/>
    <w:rsid w:val="11ED7DFC"/>
    <w:rsid w:val="12FE4FA1"/>
    <w:rsid w:val="1300693B"/>
    <w:rsid w:val="132C0169"/>
    <w:rsid w:val="137B7B37"/>
    <w:rsid w:val="140D1349"/>
    <w:rsid w:val="14496AC4"/>
    <w:rsid w:val="148166BA"/>
    <w:rsid w:val="150B24BE"/>
    <w:rsid w:val="15D022CC"/>
    <w:rsid w:val="16C905F5"/>
    <w:rsid w:val="16E10AE0"/>
    <w:rsid w:val="17367412"/>
    <w:rsid w:val="17790A05"/>
    <w:rsid w:val="17967BC2"/>
    <w:rsid w:val="17985216"/>
    <w:rsid w:val="181B03C2"/>
    <w:rsid w:val="183E3FEF"/>
    <w:rsid w:val="18863005"/>
    <w:rsid w:val="18934A09"/>
    <w:rsid w:val="18E45AFF"/>
    <w:rsid w:val="194E38C5"/>
    <w:rsid w:val="19856AAD"/>
    <w:rsid w:val="19C14D33"/>
    <w:rsid w:val="1AA35F13"/>
    <w:rsid w:val="1AB011BD"/>
    <w:rsid w:val="1B851B8F"/>
    <w:rsid w:val="1BC97EB0"/>
    <w:rsid w:val="1BD728C6"/>
    <w:rsid w:val="1C28498E"/>
    <w:rsid w:val="1C550E24"/>
    <w:rsid w:val="1CA27815"/>
    <w:rsid w:val="1CB84163"/>
    <w:rsid w:val="1CCA1E8A"/>
    <w:rsid w:val="1DC75DA5"/>
    <w:rsid w:val="1DCE5E47"/>
    <w:rsid w:val="1E0F2BC8"/>
    <w:rsid w:val="1E4D56B7"/>
    <w:rsid w:val="1EC03517"/>
    <w:rsid w:val="1F6A2D15"/>
    <w:rsid w:val="1FCB2F0B"/>
    <w:rsid w:val="20240617"/>
    <w:rsid w:val="20610F95"/>
    <w:rsid w:val="20DF1C5F"/>
    <w:rsid w:val="20EB2D1F"/>
    <w:rsid w:val="21363BE7"/>
    <w:rsid w:val="21541FBB"/>
    <w:rsid w:val="22C35E99"/>
    <w:rsid w:val="22E37B96"/>
    <w:rsid w:val="22E5435D"/>
    <w:rsid w:val="237738EA"/>
    <w:rsid w:val="23DD657B"/>
    <w:rsid w:val="24790AA3"/>
    <w:rsid w:val="24C75DCA"/>
    <w:rsid w:val="25086511"/>
    <w:rsid w:val="254808B3"/>
    <w:rsid w:val="26062F90"/>
    <w:rsid w:val="262738CE"/>
    <w:rsid w:val="2633662C"/>
    <w:rsid w:val="265B0B03"/>
    <w:rsid w:val="266E25E0"/>
    <w:rsid w:val="26D01034"/>
    <w:rsid w:val="26E33E11"/>
    <w:rsid w:val="27073D8A"/>
    <w:rsid w:val="277D20C6"/>
    <w:rsid w:val="27A74CB9"/>
    <w:rsid w:val="28B16688"/>
    <w:rsid w:val="28D43F3B"/>
    <w:rsid w:val="290A6D2A"/>
    <w:rsid w:val="29657FDA"/>
    <w:rsid w:val="29CA0EED"/>
    <w:rsid w:val="29F608EC"/>
    <w:rsid w:val="2A0B116D"/>
    <w:rsid w:val="2A6F6FC1"/>
    <w:rsid w:val="2A75412B"/>
    <w:rsid w:val="2A9C2361"/>
    <w:rsid w:val="2AD609C4"/>
    <w:rsid w:val="2B1200EC"/>
    <w:rsid w:val="2B1C4ACF"/>
    <w:rsid w:val="2B9E5DCE"/>
    <w:rsid w:val="2C031D3F"/>
    <w:rsid w:val="2E5072E8"/>
    <w:rsid w:val="2E956D20"/>
    <w:rsid w:val="2EB83272"/>
    <w:rsid w:val="2ED5F700"/>
    <w:rsid w:val="2EED445B"/>
    <w:rsid w:val="3009664E"/>
    <w:rsid w:val="301D4B66"/>
    <w:rsid w:val="3061279E"/>
    <w:rsid w:val="311A6BB4"/>
    <w:rsid w:val="3123051E"/>
    <w:rsid w:val="314C4088"/>
    <w:rsid w:val="3157432C"/>
    <w:rsid w:val="3173589A"/>
    <w:rsid w:val="32385CBF"/>
    <w:rsid w:val="3239771E"/>
    <w:rsid w:val="32521813"/>
    <w:rsid w:val="32650634"/>
    <w:rsid w:val="333C61A2"/>
    <w:rsid w:val="34E83723"/>
    <w:rsid w:val="3594185F"/>
    <w:rsid w:val="35A97242"/>
    <w:rsid w:val="36F04261"/>
    <w:rsid w:val="3705522B"/>
    <w:rsid w:val="378D4927"/>
    <w:rsid w:val="380C57D1"/>
    <w:rsid w:val="387A3619"/>
    <w:rsid w:val="391F6EF0"/>
    <w:rsid w:val="39327B6C"/>
    <w:rsid w:val="39902EE0"/>
    <w:rsid w:val="39B2670F"/>
    <w:rsid w:val="39B32519"/>
    <w:rsid w:val="39C33219"/>
    <w:rsid w:val="3A6D7552"/>
    <w:rsid w:val="3A7C0AC7"/>
    <w:rsid w:val="3AB204FF"/>
    <w:rsid w:val="3B3C419D"/>
    <w:rsid w:val="3BEE4CB6"/>
    <w:rsid w:val="3C537814"/>
    <w:rsid w:val="3D191FD5"/>
    <w:rsid w:val="3D58627E"/>
    <w:rsid w:val="3E0F3C63"/>
    <w:rsid w:val="3F2836AC"/>
    <w:rsid w:val="3F285B61"/>
    <w:rsid w:val="3F4E1595"/>
    <w:rsid w:val="3F54479A"/>
    <w:rsid w:val="403E2E4A"/>
    <w:rsid w:val="40B13FE3"/>
    <w:rsid w:val="40C01C2D"/>
    <w:rsid w:val="41097C7E"/>
    <w:rsid w:val="412A51C3"/>
    <w:rsid w:val="41B66848"/>
    <w:rsid w:val="425B19E9"/>
    <w:rsid w:val="42E20E6B"/>
    <w:rsid w:val="44E80A20"/>
    <w:rsid w:val="451A5013"/>
    <w:rsid w:val="452C3550"/>
    <w:rsid w:val="4568444F"/>
    <w:rsid w:val="45A268AC"/>
    <w:rsid w:val="45CC28E4"/>
    <w:rsid w:val="45F631E0"/>
    <w:rsid w:val="47343ADD"/>
    <w:rsid w:val="47CC5039"/>
    <w:rsid w:val="488F4805"/>
    <w:rsid w:val="48C5571A"/>
    <w:rsid w:val="49A8438E"/>
    <w:rsid w:val="49A90668"/>
    <w:rsid w:val="49B93297"/>
    <w:rsid w:val="4AEF6E6B"/>
    <w:rsid w:val="4AFD3AAD"/>
    <w:rsid w:val="4AFE24FC"/>
    <w:rsid w:val="4B0E35CF"/>
    <w:rsid w:val="4B177CA0"/>
    <w:rsid w:val="4BEE702B"/>
    <w:rsid w:val="4EDC7A52"/>
    <w:rsid w:val="4F442B83"/>
    <w:rsid w:val="4F5055FE"/>
    <w:rsid w:val="502566DB"/>
    <w:rsid w:val="505E33DD"/>
    <w:rsid w:val="509F0A16"/>
    <w:rsid w:val="50CA0728"/>
    <w:rsid w:val="50F06168"/>
    <w:rsid w:val="512A2C40"/>
    <w:rsid w:val="51457EBB"/>
    <w:rsid w:val="51C97C2A"/>
    <w:rsid w:val="51E670BD"/>
    <w:rsid w:val="51EE43A7"/>
    <w:rsid w:val="520641BF"/>
    <w:rsid w:val="526B32DC"/>
    <w:rsid w:val="533677A1"/>
    <w:rsid w:val="53463184"/>
    <w:rsid w:val="538A0243"/>
    <w:rsid w:val="538B2895"/>
    <w:rsid w:val="544334EC"/>
    <w:rsid w:val="546A1172"/>
    <w:rsid w:val="54DE2202"/>
    <w:rsid w:val="55075483"/>
    <w:rsid w:val="55256DE2"/>
    <w:rsid w:val="554FECD3"/>
    <w:rsid w:val="5562145C"/>
    <w:rsid w:val="55857EC9"/>
    <w:rsid w:val="565C6232"/>
    <w:rsid w:val="5667335D"/>
    <w:rsid w:val="57402B1B"/>
    <w:rsid w:val="57C06B64"/>
    <w:rsid w:val="57C37AEC"/>
    <w:rsid w:val="58BC54FF"/>
    <w:rsid w:val="58E876F0"/>
    <w:rsid w:val="58EC49CA"/>
    <w:rsid w:val="59DB2D2F"/>
    <w:rsid w:val="59E8342E"/>
    <w:rsid w:val="5A4A1FBA"/>
    <w:rsid w:val="5A920559"/>
    <w:rsid w:val="5AF461ED"/>
    <w:rsid w:val="5C6979E3"/>
    <w:rsid w:val="5C8059DB"/>
    <w:rsid w:val="5C8734A3"/>
    <w:rsid w:val="5CA25573"/>
    <w:rsid w:val="5CA857D7"/>
    <w:rsid w:val="5D440BDD"/>
    <w:rsid w:val="5D787969"/>
    <w:rsid w:val="5E721FC4"/>
    <w:rsid w:val="5E8571F2"/>
    <w:rsid w:val="5E8F27DD"/>
    <w:rsid w:val="5ED64AE5"/>
    <w:rsid w:val="5F164570"/>
    <w:rsid w:val="5F2E4108"/>
    <w:rsid w:val="5F625795"/>
    <w:rsid w:val="5FD71C62"/>
    <w:rsid w:val="5FEF130B"/>
    <w:rsid w:val="601E4BFC"/>
    <w:rsid w:val="60454C12"/>
    <w:rsid w:val="613B4FB0"/>
    <w:rsid w:val="61F01EDB"/>
    <w:rsid w:val="621021BD"/>
    <w:rsid w:val="622E0F03"/>
    <w:rsid w:val="625C096A"/>
    <w:rsid w:val="62D87E3C"/>
    <w:rsid w:val="635919C6"/>
    <w:rsid w:val="63917A2B"/>
    <w:rsid w:val="63B81E54"/>
    <w:rsid w:val="646D3935"/>
    <w:rsid w:val="65661879"/>
    <w:rsid w:val="65F5106C"/>
    <w:rsid w:val="66554E50"/>
    <w:rsid w:val="66B858BF"/>
    <w:rsid w:val="67422E73"/>
    <w:rsid w:val="67596989"/>
    <w:rsid w:val="677F5C2B"/>
    <w:rsid w:val="678D5639"/>
    <w:rsid w:val="67EE742E"/>
    <w:rsid w:val="68196203"/>
    <w:rsid w:val="682B444B"/>
    <w:rsid w:val="68F909F1"/>
    <w:rsid w:val="68FF6024"/>
    <w:rsid w:val="69343671"/>
    <w:rsid w:val="69566264"/>
    <w:rsid w:val="69B62ECD"/>
    <w:rsid w:val="69C97EC2"/>
    <w:rsid w:val="6A0C4496"/>
    <w:rsid w:val="6AC433C7"/>
    <w:rsid w:val="6AC51B86"/>
    <w:rsid w:val="6BB47386"/>
    <w:rsid w:val="6C3B5DE4"/>
    <w:rsid w:val="6C4953DF"/>
    <w:rsid w:val="6CB26E17"/>
    <w:rsid w:val="6D2C4BFB"/>
    <w:rsid w:val="6D3B31FC"/>
    <w:rsid w:val="6D685E90"/>
    <w:rsid w:val="6DBE2BFC"/>
    <w:rsid w:val="6DD15CE4"/>
    <w:rsid w:val="6E166B52"/>
    <w:rsid w:val="6E32728F"/>
    <w:rsid w:val="6E465A22"/>
    <w:rsid w:val="6E65160F"/>
    <w:rsid w:val="6E914F64"/>
    <w:rsid w:val="6F69369A"/>
    <w:rsid w:val="6FAD3BCD"/>
    <w:rsid w:val="6FB06C14"/>
    <w:rsid w:val="6FBC3298"/>
    <w:rsid w:val="6FBFAC4A"/>
    <w:rsid w:val="6FDF7094"/>
    <w:rsid w:val="6FE13200"/>
    <w:rsid w:val="703E72A8"/>
    <w:rsid w:val="70616076"/>
    <w:rsid w:val="709371A3"/>
    <w:rsid w:val="70AD206D"/>
    <w:rsid w:val="7118722E"/>
    <w:rsid w:val="7122575D"/>
    <w:rsid w:val="712E016D"/>
    <w:rsid w:val="71342C4E"/>
    <w:rsid w:val="71E33C05"/>
    <w:rsid w:val="72296A94"/>
    <w:rsid w:val="72732C69"/>
    <w:rsid w:val="72A52EF7"/>
    <w:rsid w:val="72AE01A6"/>
    <w:rsid w:val="72F561E2"/>
    <w:rsid w:val="733E6F15"/>
    <w:rsid w:val="73402835"/>
    <w:rsid w:val="738C33CA"/>
    <w:rsid w:val="738F3D3F"/>
    <w:rsid w:val="73AD72B6"/>
    <w:rsid w:val="73BC07CF"/>
    <w:rsid w:val="7578185F"/>
    <w:rsid w:val="75985443"/>
    <w:rsid w:val="75F91284"/>
    <w:rsid w:val="76781FEA"/>
    <w:rsid w:val="768171B6"/>
    <w:rsid w:val="76902E96"/>
    <w:rsid w:val="76DC73F8"/>
    <w:rsid w:val="77CA394D"/>
    <w:rsid w:val="77DA4A18"/>
    <w:rsid w:val="77EAED52"/>
    <w:rsid w:val="78A1321C"/>
    <w:rsid w:val="78A44E71"/>
    <w:rsid w:val="78C43E23"/>
    <w:rsid w:val="79F71487"/>
    <w:rsid w:val="7A6A5DE2"/>
    <w:rsid w:val="7B2C6F9F"/>
    <w:rsid w:val="7B82024A"/>
    <w:rsid w:val="7BBB78CC"/>
    <w:rsid w:val="7C7B323D"/>
    <w:rsid w:val="7CBB1837"/>
    <w:rsid w:val="7CF56B2A"/>
    <w:rsid w:val="7D2A7E29"/>
    <w:rsid w:val="7D2D2ECF"/>
    <w:rsid w:val="7D676507"/>
    <w:rsid w:val="7DA71E52"/>
    <w:rsid w:val="7DAF5545"/>
    <w:rsid w:val="7DB9255A"/>
    <w:rsid w:val="7DDC5147"/>
    <w:rsid w:val="7F373951"/>
    <w:rsid w:val="7F4E4605"/>
    <w:rsid w:val="7F6C5480"/>
    <w:rsid w:val="7F994681"/>
    <w:rsid w:val="7F9BC8B3"/>
    <w:rsid w:val="7FB7011A"/>
    <w:rsid w:val="7FBF5B60"/>
    <w:rsid w:val="7FC4CEA9"/>
    <w:rsid w:val="7FDB72E2"/>
    <w:rsid w:val="7FEA0416"/>
    <w:rsid w:val="7FF176F4"/>
    <w:rsid w:val="8FFFF726"/>
    <w:rsid w:val="9EF9C471"/>
    <w:rsid w:val="AFFFF834"/>
    <w:rsid w:val="B78CA093"/>
    <w:rsid w:val="B97F647C"/>
    <w:rsid w:val="BD85A537"/>
    <w:rsid w:val="CAF7B753"/>
    <w:rsid w:val="E7D1A513"/>
    <w:rsid w:val="E9BFF39A"/>
    <w:rsid w:val="EA99B39E"/>
    <w:rsid w:val="EBB5FE39"/>
    <w:rsid w:val="EDFB22D5"/>
    <w:rsid w:val="FB6F7658"/>
    <w:rsid w:val="FD830A2D"/>
    <w:rsid w:val="FEB5B396"/>
    <w:rsid w:val="FEDF1AA0"/>
    <w:rsid w:val="FF2C26E7"/>
    <w:rsid w:val="FF5F3212"/>
    <w:rsid w:val="FF7A85F8"/>
    <w:rsid w:val="FFF61436"/>
    <w:rsid w:val="FFF736C6"/>
    <w:rsid w:val="FFFF45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link w:val="20"/>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link w:val="19"/>
    <w:qFormat/>
    <w:uiPriority w:val="0"/>
    <w:pPr>
      <w:spacing w:after="120"/>
      <w:ind w:left="420" w:leftChars="200"/>
    </w:pPr>
  </w:style>
  <w:style w:type="paragraph" w:styleId="5">
    <w:name w:val="Normal Indent"/>
    <w:basedOn w:val="1"/>
    <w:unhideWhenUsed/>
    <w:qFormat/>
    <w:uiPriority w:val="99"/>
    <w:pPr>
      <w:ind w:firstLine="420" w:firstLineChars="200"/>
    </w:pPr>
    <w:rPr>
      <w:rFonts w:ascii="Times New Roman" w:hAnsi="Times New Roman" w:eastAsia="仿宋_GB2312" w:cs="Times New Roman"/>
      <w:sz w:val="32"/>
      <w:szCs w:val="20"/>
    </w:rPr>
  </w:style>
  <w:style w:type="paragraph" w:styleId="6">
    <w:name w:val="Balloon Text"/>
    <w:basedOn w:val="1"/>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qFormat/>
    <w:uiPriority w:val="59"/>
    <w:pPr>
      <w:widowControl w:val="0"/>
      <w:jc w:val="both"/>
    </w:pPr>
    <w:rPr>
      <w:rFonts w:ascii="Times New Roman" w:hAnsi="Times New Roman" w:eastAsia="黑体"/>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qFormat/>
    <w:uiPriority w:val="0"/>
  </w:style>
  <w:style w:type="character" w:styleId="13">
    <w:name w:val="Hyperlink"/>
    <w:unhideWhenUsed/>
    <w:qFormat/>
    <w:uiPriority w:val="99"/>
    <w:rPr>
      <w:rFonts w:ascii="Times New Roman" w:hAnsi="Times New Roman" w:eastAsia="仿宋" w:cs="Times New Roman"/>
      <w:color w:val="0000FF"/>
      <w:u w:val="single"/>
    </w:rPr>
  </w:style>
  <w:style w:type="character" w:styleId="14">
    <w:name w:val="annotation reference"/>
    <w:qFormat/>
    <w:uiPriority w:val="0"/>
    <w:rPr>
      <w:sz w:val="21"/>
      <w:szCs w:val="21"/>
    </w:rPr>
  </w:style>
  <w:style w:type="paragraph" w:styleId="15">
    <w:name w:val="No Spacing"/>
    <w:qFormat/>
    <w:uiPriority w:val="1"/>
    <w:pPr>
      <w:widowControl w:val="0"/>
    </w:pPr>
    <w:rPr>
      <w:rFonts w:ascii="宋体" w:hAnsi="宋体" w:eastAsia="仿宋" w:cs="宋体"/>
      <w:kern w:val="2"/>
      <w:sz w:val="21"/>
      <w:szCs w:val="21"/>
      <w:lang w:val="en-US" w:eastAsia="zh-CN" w:bidi="ar-SA"/>
    </w:rPr>
  </w:style>
  <w:style w:type="paragraph" w:customStyle="1" w:styleId="16">
    <w:name w:val="无间隔1"/>
    <w:qFormat/>
    <w:uiPriority w:val="1"/>
    <w:pPr>
      <w:widowControl w:val="0"/>
    </w:pPr>
    <w:rPr>
      <w:rFonts w:ascii="宋体" w:hAnsi="宋体" w:eastAsia="仿宋" w:cs="宋体"/>
      <w:kern w:val="2"/>
      <w:sz w:val="21"/>
      <w:szCs w:val="21"/>
      <w:lang w:val="en-US" w:eastAsia="zh-CN" w:bidi="ar-SA"/>
    </w:rPr>
  </w:style>
  <w:style w:type="paragraph" w:customStyle="1" w:styleId="17">
    <w:name w:val="列出段落1"/>
    <w:basedOn w:val="1"/>
    <w:qFormat/>
    <w:uiPriority w:val="0"/>
    <w:pPr>
      <w:ind w:firstLine="420" w:firstLineChars="200"/>
    </w:pPr>
    <w:rPr>
      <w:rFonts w:ascii="Calibri" w:hAnsi="Calibri" w:cs="Times New Roman"/>
    </w:rPr>
  </w:style>
  <w:style w:type="character" w:customStyle="1" w:styleId="18">
    <w:name w:val="font01"/>
    <w:qFormat/>
    <w:uiPriority w:val="0"/>
    <w:rPr>
      <w:rFonts w:hint="eastAsia" w:ascii="仿宋_GB2312" w:hAnsi="Times New Roman" w:eastAsia="仿宋_GB2312" w:cs="仿宋_GB2312"/>
      <w:color w:val="000000"/>
      <w:sz w:val="24"/>
      <w:szCs w:val="24"/>
      <w:u w:val="none"/>
    </w:rPr>
  </w:style>
  <w:style w:type="character" w:customStyle="1" w:styleId="19">
    <w:name w:val="正文文本缩进 字符"/>
    <w:link w:val="3"/>
    <w:qFormat/>
    <w:uiPriority w:val="0"/>
    <w:rPr>
      <w:rFonts w:ascii="Times New Roman" w:hAnsi="Times New Roman"/>
      <w:kern w:val="2"/>
      <w:sz w:val="21"/>
      <w:szCs w:val="24"/>
    </w:rPr>
  </w:style>
  <w:style w:type="character" w:customStyle="1" w:styleId="20">
    <w:name w:val="正文文本首行缩进 2 字符"/>
    <w:basedOn w:val="19"/>
    <w:link w:val="2"/>
    <w:qFormat/>
    <w:uiPriority w:val="99"/>
  </w:style>
  <w:style w:type="character" w:customStyle="1" w:styleId="21">
    <w:name w:val="NormalCharacter"/>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473</Words>
  <Characters>2697</Characters>
  <Lines>22</Lines>
  <Paragraphs>6</Paragraphs>
  <TotalTime>30</TotalTime>
  <ScaleCrop>false</ScaleCrop>
  <LinksUpToDate>false</LinksUpToDate>
  <CharactersWithSpaces>3164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2024-12-10T10:03:00Z</dcterms:created>
  <dc:creator>孙若菁</dc:creator>
  <cp:lastModifiedBy>Administrator</cp:lastModifiedBy>
  <cp:lastPrinted>2025-01-14T10:02:00Z</cp:lastPrinted>
  <dcterms:modified xsi:type="dcterms:W3CDTF">2025-05-06T01:50:32Z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