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hint="eastAsia" w:ascii="方正小标宋简体" w:eastAsia="方正小标宋简体"/>
          <w:spacing w:val="100"/>
          <w:w w:val="70"/>
          <w:sz w:val="100"/>
          <w:szCs w:val="100"/>
        </w:rPr>
      </w:pPr>
    </w:p>
    <w:p>
      <w:pPr>
        <w:spacing w:line="880" w:lineRule="exact"/>
        <w:jc w:val="center"/>
        <w:rPr>
          <w:rFonts w:hint="eastAsia" w:ascii="方正小标宋简体" w:eastAsia="方正小标宋简体"/>
          <w:spacing w:val="100"/>
          <w:w w:val="70"/>
          <w:sz w:val="100"/>
          <w:szCs w:val="100"/>
        </w:rPr>
      </w:pPr>
    </w:p>
    <w:p>
      <w:pPr>
        <w:spacing w:line="1240" w:lineRule="exact"/>
        <w:jc w:val="center"/>
        <w:rPr>
          <w:rFonts w:hint="eastAsia" w:ascii="宋体" w:hAnsi="宋体"/>
          <w:b/>
          <w:color w:val="FF3300"/>
          <w:spacing w:val="20"/>
          <w:w w:val="65"/>
          <w:sz w:val="124"/>
          <w:szCs w:val="124"/>
        </w:rPr>
      </w:pPr>
      <w:r>
        <w:rPr>
          <w:rFonts w:hint="eastAsia" w:ascii="宋体" w:hAnsi="宋体"/>
          <w:b/>
          <w:color w:val="FF3300"/>
          <w:spacing w:val="20"/>
          <w:w w:val="65"/>
          <w:sz w:val="124"/>
          <w:szCs w:val="124"/>
        </w:rPr>
        <w:t>晋江市地震办公室文件</w:t>
      </w:r>
    </w:p>
    <w:p>
      <w:pPr>
        <w:spacing w:line="520" w:lineRule="exact"/>
        <w:jc w:val="center"/>
        <w:rPr>
          <w:rFonts w:hint="eastAsia" w:ascii="方正小标宋简体" w:eastAsia="方正小标宋简体"/>
          <w:spacing w:val="100"/>
          <w:w w:val="70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pacing w:val="100"/>
          <w:w w:val="7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pacing w:val="80"/>
          <w:w w:val="80"/>
          <w:sz w:val="32"/>
          <w:szCs w:val="32"/>
        </w:rPr>
      </w:pPr>
      <w:r>
        <w:rPr>
          <w:rFonts w:hint="eastAsia" w:ascii="方正小标宋简体" w:eastAsia="方正小标宋简体"/>
          <w:b/>
          <w:color w:val="FF0000"/>
          <w:spacing w:val="4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5598160" cy="0"/>
                <wp:effectExtent l="0" t="25400" r="2540" b="317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1.8pt;height:0pt;width:440.8pt;z-index:251658240;mso-width-relative:page;mso-height-relative:page;" filled="f" stroked="t" coordsize="21600,21600" o:gfxdata="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NH+tQAAAAGAQAADwAAAAAAAAABACAAAAAiAAAAZHJz&#10;L2Rvd25yZXYueG1sUEsBAhQAFAAAAAgAh07iQOsjmxfPAQAAjgMAAA4AAAAAAAAAAQAgAAAAIwEA&#10;AGRycy9lMm9Eb2MueG1sUEsFBgAAAAAGAAYAWQEAAGQFAAAAAA==&#10;">
                <v:fill on="f" focussize="0,0"/>
                <v:stroke weight="4pt" color="#FF33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宋体" w:hAnsi="宋体" w:cs="宋体"/>
          <w:bCs/>
          <w:spacing w:val="-1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Cs/>
          <w:spacing w:val="-10"/>
          <w:sz w:val="44"/>
          <w:szCs w:val="44"/>
          <w:shd w:val="clear" w:color="auto" w:fill="FFFFFF"/>
          <w:lang w:bidi="ar"/>
        </w:rPr>
        <w:t>晋江市地震办公室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宋体" w:hAnsi="宋体" w:cs="宋体"/>
          <w:bCs/>
          <w:spacing w:val="-1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Cs/>
          <w:spacing w:val="-10"/>
          <w:sz w:val="44"/>
          <w:szCs w:val="44"/>
          <w:shd w:val="clear" w:color="auto" w:fill="FFFFFF"/>
          <w:lang w:bidi="ar"/>
        </w:rPr>
        <w:t>201</w:t>
      </w:r>
      <w:r>
        <w:rPr>
          <w:rFonts w:hint="eastAsia" w:ascii="宋体" w:hAnsi="宋体" w:cs="宋体"/>
          <w:bCs/>
          <w:spacing w:val="-10"/>
          <w:sz w:val="44"/>
          <w:szCs w:val="44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cs="宋体"/>
          <w:bCs/>
          <w:spacing w:val="-10"/>
          <w:sz w:val="44"/>
          <w:szCs w:val="44"/>
          <w:shd w:val="clear" w:color="auto" w:fill="FFFFFF"/>
          <w:lang w:bidi="ar"/>
        </w:rPr>
        <w:t>年政府信息公开工作年度报告</w:t>
      </w:r>
    </w:p>
    <w:p>
      <w:pPr>
        <w:spacing w:line="5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  <w:lang w:bidi="ar"/>
        </w:rPr>
        <w:t>引言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本年度报告根据《中华人民共和国政府信息公开条例》（以下简称《条例》）和《福建省政府信息公开办法》（以下简称《办法》）、《晋江市人民政府办公室关于印发201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年政务公开工作主要任务分解表的通知》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晋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政办〔2016〕102号文件及晋江市人民政府办公室《关于做好2016年政府信息公开年度报告有关事项的通知》规定，按照省政府办公厅和泉州市政府办公室部署要求，由晋江市地震办公室编制。本年度报告中所列数据的统计期限自2016年1月1日起至12月31日止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本报告的电子版可在“中国晋江”政府门户网站（www.jinjiang.gov.cn）上下载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如对本报告有任何疑问，请与晋江市地震办公室联系（地址：晋江市世纪大道人武部综合楼3楼，邮编：362200，电话：85667580,传真：85660461）。 </w:t>
      </w: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一、2016年工作情况概述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2016年，晋江市地震办公室按照市委、市政府的统一部署，认真贯彻落实《条例》、《办法》和《晋江市人民政府办公室关于印发2016年政务公开工作主要任务分解表的通知》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政办〔2016〕102号文件的工作要求，以深化政务公开和政府信息公开为主线，以建设防震减为目标，加大政府信息公开力度，有序推进防震减灾行政审批、财政资金使用、地震突发事件应急处置等重点工作信息的发布，及时准确回应社会舆论中有关防震减灾工作的热点和疑点问题，有效地保障了人民群众的知情权，有力地维护了政府公信力，为推动全社会重视、支持防震减灾工作营造了良好舆论氛围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eastAsia="仿宋_GB2312" w:cs="仿宋_GB2312"/>
          <w:sz w:val="32"/>
          <w:szCs w:val="32"/>
          <w:lang w:bidi="ar"/>
        </w:rPr>
      </w:pPr>
      <w:r>
        <w:rPr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-340995</wp:posOffset>
            </wp:positionH>
            <wp:positionV relativeFrom="page">
              <wp:posOffset>6206490</wp:posOffset>
            </wp:positionV>
            <wp:extent cx="3281680" cy="2587625"/>
            <wp:effectExtent l="0" t="0" r="13970" b="3175"/>
            <wp:wrapSquare wrapText="bothSides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168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sz w:val="32"/>
          <w:szCs w:val="32"/>
          <w:lang w:bidi="ar"/>
        </w:rPr>
        <w:t>（一）加强领导，高度重视。为切实做好政府信息公开工作，我办成立了以主任为组长，相关人员为成员的信息公开工作领导小组，负责政府信息公开工作的指导和监督，领导小组下设办公室，确保政府信息公开工作的积极推进。</w:t>
      </w:r>
    </w:p>
    <w:p>
      <w:pPr>
        <w:widowControl/>
        <w:numPr>
          <w:ilvl w:val="0"/>
          <w:numId w:val="2"/>
        </w:numPr>
        <w:spacing w:line="560" w:lineRule="exact"/>
        <w:ind w:firstLine="640"/>
        <w:jc w:val="left"/>
        <w:rPr>
          <w:rFonts w:hint="eastAsia" w:asci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认真梳理，编制目录。我办按照要求，对政府信息进行全面梳理，将信息划分为应主动公开的政府信息、依照申请公开的政府信息和不予公开的政府信息三类。单位领导严格把关，确保信息内容完整、界定准确。负责政府信息公开工作的人员能及时处理新增的政府信息。</w:t>
      </w:r>
    </w:p>
    <w:p>
      <w:pPr>
        <w:widowControl/>
        <w:numPr>
          <w:ilvl w:val="0"/>
          <w:numId w:val="2"/>
        </w:numPr>
        <w:spacing w:line="560" w:lineRule="exact"/>
        <w:ind w:firstLine="640"/>
        <w:jc w:val="left"/>
        <w:rPr>
          <w:rFonts w:hint="eastAsia" w:asci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制定计划，健全制度。我办先后制订下发《晋江市地震办公室信息依申请公开制度》、《晋江市地震办公室信息公开目录》等一系列制度，明确了信息公开的目标、任务和工作机制。分解细化了政府信息公开工作职责，做到责任、任务、措施三落实，确保了信息公开工作依法、有序的进行。</w:t>
      </w:r>
    </w:p>
    <w:p>
      <w:pPr>
        <w:widowControl/>
        <w:spacing w:line="560" w:lineRule="exact"/>
        <w:ind w:firstLine="420" w:firstLineChars="200"/>
        <w:jc w:val="left"/>
        <w:rPr>
          <w:rFonts w:hint="eastAsia" w:ascii="仿宋_GB2312" w:eastAsia="仿宋_GB2312" w:cs="仿宋_GB2312"/>
          <w:sz w:val="32"/>
          <w:szCs w:val="32"/>
          <w:lang w:bidi="ar"/>
        </w:rPr>
      </w:pPr>
      <w:r>
        <w:rPr>
          <w:lang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3328670</wp:posOffset>
            </wp:positionH>
            <wp:positionV relativeFrom="page">
              <wp:posOffset>5162550</wp:posOffset>
            </wp:positionV>
            <wp:extent cx="2146935" cy="2146300"/>
            <wp:effectExtent l="0" t="0" r="5715" b="6350"/>
            <wp:wrapSquare wrapText="bothSides"/>
            <wp:docPr id="3" name="图片 15" descr="QQ图片20161227095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QQ图片201612270951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（四） 按要求、按时上报政务公开材料。有计划，有总结，政务工作经费纳入财政预算。我办政务公开栏分别设置季度公开类、动态公开类以及长期公开类部门职能、科室设置，领导分工，晋江市应急避难场所情况表等固定信息长期公开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五）优化公开渠道。充分发挥晋江政务信息公开专栏、公开网第一平台作用。有效整合地震信息、地震监测预测、震害防御、应急救援、防震减灾科普知识宣传、财政预决算、行政审批等群众关心、关注的问题，积极在信息公开网公开防震减灾各类信息，做到规范管理、归类公开。配备兼职人员进行信息公开报送，进一步明确政务公开责任追究办法，完善保密审查等程序，完善配套制度，确保政务信息公开工作取得实效。</w:t>
      </w: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二、2016年主动公开政府信息情况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（一）主动公开政府信息的数量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2016年我办公开6条信息，历年累计公开22条信息。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（二）主动公开政府信息的主要类别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包括年报、机构职能、单位工作动态、通知及部门决算预算。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（三）主动公开政府信息的形式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一是在“晋江信息公开网”门户网点政府信息公开专栏地震办子栏目进行信息公开；二是在我办设立的政务公开栏上进行公开；三是在市档案局、市图书馆公开我办主动公开政府信息，为公众查阅提供方便。 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（四）开展政策解读工作情况，政策解读数量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2016年，我办无开展政策解读工作的情况。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（五）回应社会关切情况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2016年，我办无回应社会关切问题的情况。</w:t>
      </w:r>
    </w:p>
    <w:p>
      <w:pPr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bidi="ar"/>
        </w:rPr>
        <w:t>三、2016年政府信息依申请公开办理情况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2016年我办没有发生政府信息依申请公开办理情况。</w:t>
      </w:r>
    </w:p>
    <w:p>
      <w:pPr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bidi="ar"/>
        </w:rPr>
        <w:t>四、2016年政府信息公开的收费及减免情况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2016年我办没有发生政府信息公开的收费及减免情况。</w:t>
      </w:r>
    </w:p>
    <w:p>
      <w:pPr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bidi="ar"/>
        </w:rPr>
        <w:t>五、2016年因政府信息公开申请行政复议、提起行政诉讼的情况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2016年我办没有发生因政府信息公开申请行政复议、提起行政诉讼的情况。</w:t>
      </w:r>
    </w:p>
    <w:p>
      <w:pPr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bidi="ar"/>
        </w:rPr>
        <w:t>六、政府信息公开工作存在的主要问题及改进措施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我办信息公开工作方面虽然取得了一定成效，但是由于工作实际情况，还存在一些不足，主要表现为政府信息公开影响面还不够广，网上公开的内容较少。今后我办将统筹部署信息公开工作，继续做好主动公开工作，加大信息公开力度，把好信息公开安全关。</w:t>
      </w:r>
    </w:p>
    <w:p>
      <w:pPr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bidi="ar"/>
        </w:rPr>
        <w:t>七、需要说明的其他事项与附表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附表：</w:t>
      </w:r>
    </w:p>
    <w:tbl>
      <w:tblPr>
        <w:tblStyle w:val="9"/>
        <w:tblW w:w="9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900"/>
        <w:gridCol w:w="1890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"/>
              </w:rPr>
              <w:t>指标名称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"/>
              </w:rPr>
              <w:t>单位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"/>
              </w:rPr>
              <w:t>2016年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"/>
              </w:rPr>
              <w:t>历史累计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主动公开文件数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其中：1.政府网站公开数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    2.政府公报公开数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受理政府信息公开申请总数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其中：1.当面申请数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    2.网络申请数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    3.信函、传真申请数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对申请的答复总数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其中：1.同意公开答复数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   2.同意部分公开答复数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    3.不予公开答复数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    4.其他类型答复数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政府信息公开收费减免金额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接受行政申诉、举报数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件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行政复议数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件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行政诉讼数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件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5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</w:p>
        </w:tc>
      </w:tr>
    </w:tbl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tabs>
          <w:tab w:val="left" w:pos="125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              晋江市地震办公室</w:t>
      </w:r>
    </w:p>
    <w:p>
      <w:pPr>
        <w:tabs>
          <w:tab w:val="left" w:pos="125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             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年1月3日</w:t>
      </w:r>
    </w:p>
    <w:p>
      <w:pPr>
        <w:tabs>
          <w:tab w:val="left" w:pos="125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left="1760" w:hanging="1760" w:hangingChars="550"/>
        <w:jc w:val="lef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211" w:right="1474" w:bottom="1985" w:left="1644" w:header="851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7A97"/>
    <w:multiLevelType w:val="multilevel"/>
    <w:tmpl w:val="14037A97"/>
    <w:lvl w:ilvl="0" w:tentative="0">
      <w:start w:val="1"/>
      <w:numFmt w:val="japaneseCounting"/>
      <w:pStyle w:val="4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8622907"/>
    <w:multiLevelType w:val="singleLevel"/>
    <w:tmpl w:val="58622907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035CA"/>
    <w:rsid w:val="4B2035CA"/>
    <w:rsid w:val="5F726B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eastAsia="仿宋_GB2312"/>
      <w:sz w:val="32"/>
      <w:szCs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 Char Char Char Char Char Char Char"/>
    <w:basedOn w:val="1"/>
    <w:link w:val="3"/>
    <w:qFormat/>
    <w:uiPriority w:val="0"/>
    <w:pPr>
      <w:numPr>
        <w:ilvl w:val="0"/>
        <w:numId w:val="1"/>
      </w:numPr>
    </w:pPr>
    <w:rPr>
      <w:rFonts w:eastAsia="仿宋_GB2312"/>
      <w:sz w:val="32"/>
      <w:szCs w:val="32"/>
    </w:rPr>
  </w:style>
  <w:style w:type="character" w:styleId="5">
    <w:name w:val="page number"/>
    <w:basedOn w:val="3"/>
    <w:qFormat/>
    <w:uiPriority w:val="0"/>
  </w:style>
  <w:style w:type="character" w:styleId="6">
    <w:name w:val="FollowedHyperlink"/>
    <w:basedOn w:val="3"/>
    <w:qFormat/>
    <w:uiPriority w:val="0"/>
    <w:rPr>
      <w:color w:val="555555"/>
      <w:u w:val="none"/>
    </w:rPr>
  </w:style>
  <w:style w:type="character" w:styleId="7">
    <w:name w:val="Hyperlink"/>
    <w:basedOn w:val="3"/>
    <w:qFormat/>
    <w:uiPriority w:val="0"/>
    <w:rPr>
      <w:color w:val="555555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pagebox_num_ellipsis"/>
    <w:basedOn w:val="3"/>
    <w:qFormat/>
    <w:uiPriority w:val="0"/>
    <w:rPr>
      <w:color w:val="393733"/>
    </w:rPr>
  </w:style>
  <w:style w:type="character" w:customStyle="1" w:styleId="11">
    <w:name w:val="pagebox_next_nolink"/>
    <w:basedOn w:val="3"/>
    <w:qFormat/>
    <w:uiPriority w:val="0"/>
    <w:rPr>
      <w:color w:val="999999"/>
      <w:bdr w:val="single" w:color="DDDDDD" w:sz="6" w:space="0"/>
    </w:rPr>
  </w:style>
  <w:style w:type="character" w:customStyle="1" w:styleId="12">
    <w:name w:val="pagebox_pre_nolink"/>
    <w:basedOn w:val="3"/>
    <w:qFormat/>
    <w:uiPriority w:val="0"/>
    <w:rPr>
      <w:color w:val="999999"/>
      <w:bdr w:val="single" w:color="DDDDDD" w:sz="6" w:space="0"/>
    </w:rPr>
  </w:style>
  <w:style w:type="character" w:customStyle="1" w:styleId="13">
    <w:name w:val="pagebox_num_nonce"/>
    <w:basedOn w:val="3"/>
    <w:qFormat/>
    <w:uiPriority w:val="0"/>
    <w:rPr>
      <w:color w:val="FFFFFF"/>
      <w:bdr w:val="single" w:color="DDDDDD" w:sz="6" w:space="0"/>
      <w:shd w:val="clear" w:fill="E826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2017-12-28T03:16:00Z</dcterms:created>
  <dc:creator>@suyo</dc:creator>
  <cp:lastModifiedBy>@suyo</cp:lastModifiedBy>
  <dcterms:modified xsi:type="dcterms:W3CDTF">2017-12-28T06:42:05Z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