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84" w:rsidRDefault="00560484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560484" w:rsidRDefault="00560484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560484" w:rsidRDefault="00560484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503B30" w:rsidRDefault="00503B30" w:rsidP="00503B30">
      <w:pPr>
        <w:pStyle w:val="a3"/>
        <w:widowControl/>
        <w:shd w:val="clear" w:color="auto" w:fill="FFFFFF"/>
        <w:spacing w:beforeAutospacing="0" w:afterAutospacing="0"/>
        <w:jc w:val="center"/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  <w:shd w:val="clear" w:color="auto" w:fill="FFFFFF"/>
        </w:rPr>
      </w:pPr>
      <w:bookmarkStart w:id="0" w:name="_GoBack"/>
      <w:r w:rsidRPr="00503B30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  <w:shd w:val="clear" w:color="auto" w:fill="FFFFFF"/>
        </w:rPr>
        <w:t>晋江市卫生健康局2022年</w:t>
      </w:r>
      <w:r w:rsidR="00E67778" w:rsidRPr="00503B30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  <w:shd w:val="clear" w:color="auto" w:fill="FFFFFF"/>
        </w:rPr>
        <w:t>政府信息公开</w:t>
      </w:r>
    </w:p>
    <w:p w:rsidR="00560484" w:rsidRDefault="00E67778" w:rsidP="00503B30">
      <w:pPr>
        <w:pStyle w:val="a3"/>
        <w:widowControl/>
        <w:shd w:val="clear" w:color="auto" w:fill="FFFFFF"/>
        <w:spacing w:beforeAutospacing="0" w:afterAutospacing="0"/>
        <w:jc w:val="center"/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  <w:shd w:val="clear" w:color="auto" w:fill="FFFFFF"/>
        </w:rPr>
      </w:pPr>
      <w:r w:rsidRPr="00503B30">
        <w:rPr>
          <w:rFonts w:asciiTheme="majorEastAsia" w:eastAsiaTheme="majorEastAsia" w:hAnsiTheme="majorEastAsia" w:cs="宋体" w:hint="eastAsia"/>
          <w:b/>
          <w:bCs/>
          <w:color w:val="333333"/>
          <w:sz w:val="44"/>
          <w:szCs w:val="44"/>
          <w:shd w:val="clear" w:color="auto" w:fill="FFFFFF"/>
        </w:rPr>
        <w:t>工作年度报告</w:t>
      </w:r>
      <w:bookmarkEnd w:id="0"/>
    </w:p>
    <w:p w:rsidR="00503B30" w:rsidRPr="00503B30" w:rsidRDefault="00503B30" w:rsidP="00503B30">
      <w:pPr>
        <w:pStyle w:val="a3"/>
        <w:widowControl/>
        <w:shd w:val="clear" w:color="auto" w:fill="FFFFFF"/>
        <w:spacing w:beforeAutospacing="0" w:afterAutospacing="0"/>
        <w:jc w:val="center"/>
        <w:rPr>
          <w:rFonts w:asciiTheme="majorEastAsia" w:eastAsiaTheme="majorEastAsia" w:hAnsiTheme="majorEastAsia" w:cs="宋体"/>
          <w:b/>
          <w:bCs/>
          <w:color w:val="333333"/>
          <w:sz w:val="44"/>
          <w:szCs w:val="44"/>
          <w:shd w:val="clear" w:color="auto" w:fill="FFFFFF"/>
        </w:rPr>
      </w:pPr>
    </w:p>
    <w:p w:rsidR="00E67778" w:rsidRDefault="00E67778" w:rsidP="00503B30">
      <w:pPr>
        <w:widowControl/>
        <w:shd w:val="clear" w:color="auto" w:fill="FFFFFF"/>
        <w:spacing w:line="502" w:lineRule="atLeas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根据《中华人民共和国政府信息公开条例》（以下简称《条例》）、《福建省政府信息公开办法》（以下简称《办法》）等有关文件材料要求，结合我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局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年度政府信息公开工作实际编制本报告。报告中的数据统计时限自2022年1月1日至12月31日。本报告的电子版可在“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泉州市晋江市人民政府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”网站（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http://www.jinjiang.gov.cn/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）查询下载。如对本报告有疑问，请与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晋江市卫生健康局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办公室联系（地址：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晋江市迎宾路669号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；邮编：36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2200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；电话：0592-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85664489）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</w:p>
    <w:p w:rsidR="00503B30" w:rsidRPr="00503B30" w:rsidRDefault="00503B30" w:rsidP="00503B30">
      <w:pPr>
        <w:widowControl/>
        <w:shd w:val="clear" w:color="auto" w:fill="FFFFFF"/>
        <w:spacing w:line="502" w:lineRule="atLeas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</w:p>
    <w:p w:rsidR="00E67778" w:rsidRPr="00503B30" w:rsidRDefault="00E67778" w:rsidP="00E67778">
      <w:pPr>
        <w:widowControl/>
        <w:shd w:val="clear" w:color="auto" w:fill="FFFFFF"/>
        <w:spacing w:line="502" w:lineRule="atLeast"/>
        <w:jc w:val="left"/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黑体" w:cs="宋体" w:hint="eastAsia"/>
          <w:b/>
          <w:color w:val="333333"/>
          <w:kern w:val="0"/>
          <w:sz w:val="32"/>
          <w:szCs w:val="32"/>
        </w:rPr>
        <w:t xml:space="preserve">　</w:t>
      </w:r>
      <w:r w:rsidRPr="00503B30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　一、总体情况</w:t>
      </w:r>
    </w:p>
    <w:p w:rsidR="00E67778" w:rsidRPr="00503B30" w:rsidRDefault="00503B30" w:rsidP="00E67778">
      <w:pPr>
        <w:widowControl/>
        <w:shd w:val="clear" w:color="auto" w:fill="FFFFFF"/>
        <w:spacing w:line="502" w:lineRule="atLeast"/>
        <w:jc w:val="left"/>
        <w:rPr>
          <w:rFonts w:ascii="仿宋_GB2312" w:eastAsia="仿宋_GB2312" w:hAnsi="楷体" w:cs="宋体" w:hint="eastAsia"/>
          <w:b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 xml:space="preserve">　</w:t>
      </w:r>
      <w:r w:rsidR="00E67778" w:rsidRPr="00503B30">
        <w:rPr>
          <w:rFonts w:ascii="仿宋_GB2312" w:eastAsia="仿宋_GB2312" w:hAnsi="楷体" w:cs="宋体" w:hint="eastAsia"/>
          <w:b/>
          <w:color w:val="333333"/>
          <w:kern w:val="0"/>
          <w:sz w:val="32"/>
          <w:szCs w:val="32"/>
        </w:rPr>
        <w:t>（一）主动公开政府信息的情况</w:t>
      </w:r>
    </w:p>
    <w:p w:rsidR="00DB385F" w:rsidRPr="00503B30" w:rsidRDefault="00E67778" w:rsidP="00DB385F">
      <w:pPr>
        <w:widowControl/>
        <w:shd w:val="clear" w:color="auto" w:fill="FFFFFF"/>
        <w:spacing w:line="502" w:lineRule="atLeast"/>
        <w:ind w:firstLine="5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1、积极推进政府信息主动公开。2022年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晋江市卫健局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主动公开的政府信息</w:t>
      </w:r>
      <w:r w:rsidR="00411761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中行政许可1851条、行政处罚202条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，均为全文电子化在“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泉州市晋江市人民政府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”网站的“政府信息公开专栏”上向社会公开，并报送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晋江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市档案馆和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晋江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市图书馆。属于主动公开的信息公开率和及时率均为100％。</w:t>
      </w:r>
    </w:p>
    <w:p w:rsidR="00E67778" w:rsidRPr="00503B30" w:rsidRDefault="00E67778" w:rsidP="00503B30">
      <w:pPr>
        <w:widowControl/>
        <w:shd w:val="clear" w:color="auto" w:fill="FFFFFF"/>
        <w:spacing w:line="502" w:lineRule="atLeast"/>
        <w:ind w:firstLineChars="250" w:firstLine="80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2、认真落实政务公开工作。一是及时向社会公开集中发布，明确我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局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权责事项名称、事项类别、法律依据等信息。</w:t>
      </w:r>
      <w:r w:rsidR="00411761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我局行政职权事项341项，其中行政许可16项，行政处罚232项，行政强制7项，行政征收1项，行政确认4项，行政裁决1项，行政监督检查77项，其它类3项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二是</w:t>
      </w:r>
      <w:r w:rsidR="00F85635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深入推行“三项制度（即：实施执法公示制度、实施执法全过程记录制度、实施重大执法决定法制审核制度）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</w:t>
      </w:r>
      <w:r w:rsidR="00F85635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落实执法职责权限公示，公示执法人员执法资格，以及”双随机一公开“实施事项清单、依据、程序等，规范事前公示。</w:t>
      </w:r>
      <w:r w:rsidR="00411761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三是</w:t>
      </w:r>
      <w:r w:rsidR="00F85635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推行”一门通查“制度，实行多科室多部门多专业联合监督检查，实现进一次门</w:t>
      </w:r>
      <w:r w:rsidR="00411761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完成不同监督内容的监督检查。全面规范行政执法自由裁量权，</w:t>
      </w:r>
      <w:r w:rsidR="00F85635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修订《晋江市部分卫生健康行政处罚自由裁量权细化标准（试行）》</w:t>
      </w:r>
      <w:r w:rsidR="00411761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，坚持行政处罚案件查、立、审三分离原则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  <w:r w:rsidR="00015CD6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四是全面推进行政审批制度改革。全面深化“放管服”改革，按照泉州市提升政务服务“三减一提升”指标的要求，2022年市卫健局减时间1533工作日，平均缩短时限比例92.29%，高于泉州平均91.47%，位列泉州市卫健系统市（县）区第2；减跑动为0，低于泉州平均0.02，位列泉州市卫健系统市（县）区第1；减材料51项，平均材料数3.62，低于泉州平均4.14，位列泉州市卫健系统市（县）区第3；即办件数59项，即办占比80.82%，高于泉州平均78.47%，位列泉州市卫健系统市（县）区首位。</w:t>
      </w:r>
    </w:p>
    <w:p w:rsidR="00DB385F" w:rsidRPr="00503B30" w:rsidRDefault="00E67778" w:rsidP="00DB385F">
      <w:pPr>
        <w:widowControl/>
        <w:shd w:val="clear" w:color="auto" w:fill="FFFFFF"/>
        <w:spacing w:line="502" w:lineRule="atLeast"/>
        <w:ind w:firstLine="525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3、开展政策解读及回应社会关切情况。对涉及面广、社会关注度高或专业性比较强的政策性信息及相关重要信息，认真做好信息发布、解读和回应工作，及时在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官方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网站发布制定的相关文件政策解读以及转载国家卫健委、省卫健委相关政策解读，多次参与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泉州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市人民政府新闻办公室召开的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泉州市疫情防控情况新闻发布会，及时回应热点问题</w:t>
      </w:r>
      <w:r w:rsidR="00F25C88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；在晋江融媒体开设“应对新冠 专家支招 做自己健康的第一责任人”直播活动，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2022年</w:t>
      </w:r>
      <w:r w:rsidR="00F25C88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累计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布疫情动态信息356条；策划主题突出，走心创意的宣传短视频，将为民办实事项目“贫困人员髋膝关节置换医疗救助工程”政策宣传到位；紧扣卫生健康发展规划，权威解读民生政策，原创“一图读懂”长图，通过主流媒体、街头LED等渠道传播，让更多人更加深入了解卫生健康事业发展。</w:t>
      </w:r>
    </w:p>
    <w:p w:rsidR="00E67778" w:rsidRPr="00503B30" w:rsidRDefault="00E67778" w:rsidP="00DB385F">
      <w:pPr>
        <w:widowControl/>
        <w:shd w:val="clear" w:color="auto" w:fill="FFFFFF"/>
        <w:spacing w:line="502" w:lineRule="atLeast"/>
        <w:ind w:firstLine="525"/>
        <w:jc w:val="left"/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</w:pPr>
      <w:r w:rsidRPr="00503B30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>（二）依申请公开政府信息办理情况</w:t>
      </w:r>
    </w:p>
    <w:p w:rsidR="00E67778" w:rsidRPr="00503B30" w:rsidRDefault="00E67778" w:rsidP="00E67778">
      <w:pPr>
        <w:widowControl/>
        <w:shd w:val="clear" w:color="auto" w:fill="FFFFFF"/>
        <w:spacing w:line="502" w:lineRule="atLeas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　　2022年共收到申请公开的信息数</w:t>
      </w:r>
      <w:r w:rsidR="00DB385F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件，全部按时答复，</w:t>
      </w:r>
      <w:r w:rsidR="00020FC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“区分处理后公开数”</w:t>
      </w:r>
      <w:r w:rsidR="00020FC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0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件，“不予公开答复数”0件，“无法提供数”</w:t>
      </w:r>
      <w:r w:rsidR="00020FC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0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件，“不予处理数”0件，“申请后自动放弃数”0件。所有受理意见均通过邮寄文件、资料或网上直接答复等形式，在规定的期限内完结办理，非本机关政府信息的申请均为申请指明申请方向。</w:t>
      </w:r>
    </w:p>
    <w:p w:rsidR="00E67778" w:rsidRPr="00503B30" w:rsidRDefault="00E67778" w:rsidP="00E67778">
      <w:pPr>
        <w:widowControl/>
        <w:shd w:val="clear" w:color="auto" w:fill="FFFFFF"/>
        <w:spacing w:line="502" w:lineRule="atLeast"/>
        <w:jc w:val="left"/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</w:pPr>
      <w:r w:rsidRPr="00503B30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 xml:space="preserve">　　（三）严格政府信息管理</w:t>
      </w:r>
    </w:p>
    <w:p w:rsidR="00E67778" w:rsidRPr="00503B30" w:rsidRDefault="00E67778" w:rsidP="00E67778">
      <w:pPr>
        <w:widowControl/>
        <w:shd w:val="clear" w:color="auto" w:fill="FFFFFF"/>
        <w:spacing w:line="502" w:lineRule="atLeas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 xml:space="preserve">　　严格落实网络意识形态责任制，制定信息发布保密审查制度，规范政府网站和微信公众号信息发布审批程序。依据《条例》和《办法》的要求，严格落实把主动公开的政府信息于定期送交</w:t>
      </w:r>
      <w:r w:rsidR="00020FC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晋江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市档案馆和</w:t>
      </w:r>
      <w:r w:rsidR="006A1FDD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晋江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市图书馆，以方便公众查询。</w:t>
      </w:r>
    </w:p>
    <w:p w:rsidR="00E67778" w:rsidRPr="00503B30" w:rsidRDefault="00E67778" w:rsidP="00E67778">
      <w:pPr>
        <w:widowControl/>
        <w:shd w:val="clear" w:color="auto" w:fill="FFFFFF"/>
        <w:spacing w:line="502" w:lineRule="atLeast"/>
        <w:jc w:val="left"/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　　</w:t>
      </w:r>
      <w:r w:rsidRPr="00503B30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>（四）加强政务网站、政务微博、微信等新媒体平台建设</w:t>
      </w:r>
    </w:p>
    <w:p w:rsidR="00E67778" w:rsidRPr="00503B30" w:rsidRDefault="00E67778" w:rsidP="00E67778">
      <w:pPr>
        <w:widowControl/>
        <w:shd w:val="clear" w:color="auto" w:fill="FFFFFF"/>
        <w:spacing w:line="502" w:lineRule="atLeas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　　按照“谁主管谁负责、谁运行谁负责”原则，切实落实卫生健康系统网站及政务新媒体平台主体责任。严格执行信息发布“三审三校”制度及保密审查制度，强化信息内容发布审核和动态监管。做好网站信息内容保障工作，加强网站</w:t>
      </w:r>
      <w:r w:rsidR="00D54C7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疾病疫情及防控、健康科普、免疫规划、重大疾病防控、突发公共卫生事件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等栏目维护，密切关注网站运行过程中出现的各类问题，第一时间协调整改，保证网站的良好运行。积极运用网站平台宣传大政方针、医改成果、惠民政策、健康科普知识，根据上级要求和工作需要及时开设专题专栏，及时发布政务信息，回应市民关切。</w:t>
      </w:r>
    </w:p>
    <w:p w:rsidR="00E67778" w:rsidRPr="00503B30" w:rsidRDefault="00E67778" w:rsidP="00E67778">
      <w:pPr>
        <w:widowControl/>
        <w:shd w:val="clear" w:color="auto" w:fill="FFFFFF"/>
        <w:spacing w:line="502" w:lineRule="atLeas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　　不断强化政务新媒体建设。</w:t>
      </w:r>
      <w:r w:rsidR="00D54C7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积极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构建大众媒体与卫生健康行业媒体相结合、传统媒体与新媒体融合并用的新闻宣传工作网络，形成立体宣传矩阵。积极通过“</w:t>
      </w:r>
      <w:r w:rsidR="00D54C7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健康晋江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”微信公众号、微博发布疫情防控权威信息、健康科普知识等，政务新媒体建设卓有成效，关注量大幅上涨，单篇阅读量稳步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提升。2022年共发布卫健新闻（卫健要闻、媒体报道、工作动态）</w:t>
      </w:r>
      <w:r w:rsidR="00D54C7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1683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篇</w:t>
      </w:r>
      <w:r w:rsidR="00D54C7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“健康</w:t>
      </w:r>
      <w:r w:rsidR="00D54C7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晋江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”微信和微博发布信息</w:t>
      </w:r>
      <w:r w:rsidR="00D54C7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1886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条。2</w:t>
      </w:r>
      <w:r w:rsidR="00D54C7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每季度对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网站</w:t>
      </w:r>
      <w:r w:rsidR="00D54C7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开展自查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，对发现的问题及时整改，确保</w:t>
      </w:r>
      <w:r w:rsidR="00D54C7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局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网站的良好运行。</w:t>
      </w:r>
    </w:p>
    <w:p w:rsidR="00E67778" w:rsidRPr="00503B30" w:rsidRDefault="00E67778" w:rsidP="00E67778">
      <w:pPr>
        <w:widowControl/>
        <w:shd w:val="clear" w:color="auto" w:fill="FFFFFF"/>
        <w:spacing w:line="502" w:lineRule="atLeast"/>
        <w:jc w:val="left"/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　　</w:t>
      </w:r>
      <w:r w:rsidRPr="00503B30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>（五）切实加强对政务公开工作的组织领导，强化监督保障</w:t>
      </w:r>
    </w:p>
    <w:p w:rsidR="00560484" w:rsidRPr="00503B30" w:rsidRDefault="00E67778" w:rsidP="00503B30">
      <w:pPr>
        <w:widowControl/>
        <w:shd w:val="clear" w:color="auto" w:fill="FFFFFF"/>
        <w:spacing w:line="502" w:lineRule="atLeas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　　一是我</w:t>
      </w:r>
      <w:r w:rsidR="00D54C7E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局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领导高度重视政务公开工作，坚持把落实政务公开工作纳入日常工作，按级负责，主要领导亲自抓、分管领导直接抓、相关处室具体抓，工作扎实有效，确保了权力在阳光下运行。二是强化对政务公开工作的学习。先后转发、贯彻学习落实《中华人民共和国政府信息公开条例》、《医疗卫生机构信息公开管理办法的通知》（国卫办发〔2021〕43号）等文件，要求</w:t>
      </w:r>
      <w:r w:rsidR="00F25C88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局机关、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各</w:t>
      </w:r>
      <w:r w:rsidR="00F25C88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医疗机构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组织学习并贯彻落实，确保依申请公开办理答复规范、准确。三是推进政务公开制度化规范化。为要求</w:t>
      </w:r>
      <w:r w:rsidR="00F25C88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局机关各科室、各医疗卫生单位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按职责任务分工情况，及时认真逐项落实并开展常态化自查自评工作，针对自查发现的问题及时整改，并及时反馈。进一步规范和加强我</w:t>
      </w:r>
      <w:r w:rsidR="00F25C88"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局</w:t>
      </w:r>
      <w:r w:rsidRPr="00503B3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政务新媒体管理工作，规范了政府信息公开审查内容，切实做好公开内容表述、公开时机、公开方式的研判，避免发生信息发布失信、影响社会稳定等问题。</w:t>
      </w:r>
    </w:p>
    <w:p w:rsidR="00503B30" w:rsidRDefault="00503B30" w:rsidP="00503B30">
      <w:pPr>
        <w:pStyle w:val="a3"/>
        <w:widowControl/>
        <w:shd w:val="clear" w:color="auto" w:fill="FFFFFF"/>
        <w:spacing w:beforeAutospacing="0" w:afterAutospacing="0"/>
        <w:jc w:val="both"/>
        <w:rPr>
          <w:rFonts w:ascii="黑体" w:eastAsia="黑体" w:hAnsi="黑体" w:cs="宋体" w:hint="eastAsia"/>
          <w:b/>
          <w:bCs/>
          <w:color w:val="333333"/>
          <w:sz w:val="32"/>
          <w:szCs w:val="32"/>
          <w:shd w:val="clear" w:color="auto" w:fill="FFFFFF"/>
        </w:rPr>
      </w:pPr>
    </w:p>
    <w:p w:rsidR="00503B30" w:rsidRDefault="00503B30" w:rsidP="00503B30">
      <w:pPr>
        <w:pStyle w:val="a3"/>
        <w:widowControl/>
        <w:shd w:val="clear" w:color="auto" w:fill="FFFFFF"/>
        <w:spacing w:beforeAutospacing="0" w:afterAutospacing="0"/>
        <w:jc w:val="both"/>
        <w:rPr>
          <w:rFonts w:ascii="黑体" w:eastAsia="黑体" w:hAnsi="黑体" w:cs="宋体" w:hint="eastAsia"/>
          <w:b/>
          <w:bCs/>
          <w:color w:val="333333"/>
          <w:sz w:val="32"/>
          <w:szCs w:val="32"/>
          <w:shd w:val="clear" w:color="auto" w:fill="FFFFFF"/>
        </w:rPr>
      </w:pPr>
    </w:p>
    <w:p w:rsidR="00560484" w:rsidRPr="00503B30" w:rsidRDefault="00E67778" w:rsidP="00503B30">
      <w:pPr>
        <w:pStyle w:val="a3"/>
        <w:widowControl/>
        <w:shd w:val="clear" w:color="auto" w:fill="FFFFFF"/>
        <w:spacing w:beforeAutospacing="0" w:afterAutospacing="0"/>
        <w:jc w:val="both"/>
        <w:rPr>
          <w:rFonts w:ascii="黑体" w:eastAsia="黑体" w:hAnsi="黑体" w:cs="宋体"/>
          <w:color w:val="333333"/>
          <w:sz w:val="32"/>
          <w:szCs w:val="32"/>
        </w:rPr>
      </w:pPr>
      <w:r w:rsidRPr="00503B30">
        <w:rPr>
          <w:rFonts w:ascii="黑体" w:eastAsia="黑体" w:hAnsi="黑体" w:cs="宋体" w:hint="eastAsia"/>
          <w:b/>
          <w:bCs/>
          <w:color w:val="333333"/>
          <w:sz w:val="32"/>
          <w:szCs w:val="32"/>
          <w:shd w:val="clear" w:color="auto" w:fill="FFFFFF"/>
        </w:rPr>
        <w:lastRenderedPageBreak/>
        <w:t>二、主动公开政府信息情况</w:t>
      </w:r>
    </w:p>
    <w:p w:rsidR="00560484" w:rsidRDefault="00560484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560484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56048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</w:t>
            </w:r>
          </w:p>
        </w:tc>
      </w:tr>
      <w:tr w:rsidR="0056048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6048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60484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56048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56048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Cs w:val="21"/>
              </w:rPr>
              <w:t>1851</w:t>
            </w:r>
          </w:p>
        </w:tc>
      </w:tr>
      <w:tr w:rsidR="00560484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56048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56048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202</w:t>
            </w:r>
          </w:p>
        </w:tc>
      </w:tr>
      <w:tr w:rsidR="0056048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0</w:t>
            </w:r>
          </w:p>
        </w:tc>
      </w:tr>
      <w:tr w:rsidR="00560484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56048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56048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560484" w:rsidRDefault="00560484">
      <w:pPr>
        <w:widowControl/>
        <w:jc w:val="left"/>
      </w:pPr>
    </w:p>
    <w:p w:rsidR="00560484" w:rsidRPr="00503B30" w:rsidRDefault="00E67778" w:rsidP="00503B30">
      <w:pPr>
        <w:pStyle w:val="a3"/>
        <w:widowControl/>
        <w:shd w:val="clear" w:color="auto" w:fill="FFFFFF"/>
        <w:spacing w:beforeAutospacing="0" w:afterAutospacing="0"/>
        <w:jc w:val="both"/>
        <w:rPr>
          <w:rFonts w:ascii="黑体" w:eastAsia="黑体" w:hAnsi="黑体" w:cs="宋体"/>
          <w:color w:val="333333"/>
          <w:sz w:val="32"/>
          <w:szCs w:val="32"/>
        </w:rPr>
      </w:pPr>
      <w:r w:rsidRPr="00503B30">
        <w:rPr>
          <w:rFonts w:ascii="黑体" w:eastAsia="黑体" w:hAnsi="黑体" w:cs="宋体" w:hint="eastAsia"/>
          <w:b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 w:rsidR="00560484" w:rsidRDefault="00560484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560484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560484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560484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</w:tr>
      <w:tr w:rsidR="00560484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60484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2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ind w:firstLineChars="100" w:firstLine="200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560484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spacing w:line="480" w:lineRule="auto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60484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2</w:t>
            </w:r>
          </w:p>
        </w:tc>
      </w:tr>
      <w:tr w:rsidR="00560484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0484" w:rsidRDefault="00E677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560484" w:rsidRDefault="00560484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sz w:val="24"/>
        </w:rPr>
      </w:pPr>
    </w:p>
    <w:p w:rsidR="00560484" w:rsidRPr="00503B30" w:rsidRDefault="00E67778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color w:val="333333"/>
          <w:sz w:val="32"/>
          <w:szCs w:val="32"/>
        </w:rPr>
      </w:pPr>
      <w:r w:rsidRPr="00503B30">
        <w:rPr>
          <w:rFonts w:ascii="黑体" w:eastAsia="黑体" w:hAnsi="黑体" w:cs="宋体" w:hint="eastAsia"/>
          <w:b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:rsidR="00560484" w:rsidRDefault="00560484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sz w:val="24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560484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560484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560484">
        <w:trPr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560484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560484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0484" w:rsidRDefault="00E677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560484" w:rsidRDefault="00560484">
      <w:pPr>
        <w:widowControl/>
        <w:jc w:val="left"/>
      </w:pPr>
    </w:p>
    <w:p w:rsidR="00503B30" w:rsidRDefault="00503B30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黑体" w:eastAsia="黑体" w:hAnsi="黑体" w:cs="宋体" w:hint="eastAsia"/>
          <w:b/>
          <w:bCs/>
          <w:color w:val="333333"/>
          <w:sz w:val="32"/>
          <w:szCs w:val="32"/>
          <w:shd w:val="clear" w:color="auto" w:fill="FFFFFF"/>
        </w:rPr>
      </w:pPr>
    </w:p>
    <w:p w:rsidR="00560484" w:rsidRPr="00503B30" w:rsidRDefault="00E67778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黑体" w:eastAsia="黑体" w:hAnsi="黑体" w:cs="宋体"/>
          <w:color w:val="333333"/>
          <w:sz w:val="32"/>
          <w:szCs w:val="32"/>
        </w:rPr>
      </w:pPr>
      <w:r w:rsidRPr="00503B30">
        <w:rPr>
          <w:rFonts w:ascii="黑体" w:eastAsia="黑体" w:hAnsi="黑体" w:cs="宋体" w:hint="eastAsia"/>
          <w:b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560484" w:rsidRDefault="00E67778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仿宋_GB2312" w:eastAsia="仿宋_GB2312" w:hAnsi="宋体" w:cs="宋体" w:hint="eastAsia"/>
          <w:color w:val="333333"/>
          <w:sz w:val="32"/>
          <w:szCs w:val="32"/>
        </w:rPr>
      </w:pPr>
      <w:r w:rsidRPr="00503B30">
        <w:rPr>
          <w:rFonts w:ascii="仿宋_GB2312" w:eastAsia="仿宋_GB2312" w:hAnsi="宋体" w:cs="宋体"/>
          <w:color w:val="333333"/>
          <w:sz w:val="32"/>
          <w:szCs w:val="32"/>
        </w:rPr>
        <w:t>2022年，在市政务公开办和省厅的业务指导下，政务公开工作取得了一定成效，但离上级要求和公众需求还有一定差距，主要存在以下问题：一是政务公开的队伍有待进一步充实，工作人员数量有待增加。二</w:t>
      </w:r>
      <w:r w:rsidRPr="00503B30">
        <w:rPr>
          <w:rFonts w:ascii="仿宋_GB2312" w:eastAsia="仿宋_GB2312" w:hAnsi="宋体" w:cs="宋体" w:hint="eastAsia"/>
          <w:color w:val="333333"/>
          <w:sz w:val="32"/>
          <w:szCs w:val="32"/>
        </w:rPr>
        <w:t>是创新政策宣传模式</w:t>
      </w:r>
      <w:r w:rsidRPr="00503B30">
        <w:rPr>
          <w:rFonts w:ascii="仿宋_GB2312" w:eastAsia="仿宋_GB2312" w:hAnsi="宋体" w:cs="宋体"/>
          <w:color w:val="333333"/>
          <w:sz w:val="32"/>
          <w:szCs w:val="32"/>
        </w:rPr>
        <w:t>有待提高，涉及公众切身利益、需要公众广泛知晓的政策解读公开内容与</w:t>
      </w:r>
      <w:r w:rsidRPr="00503B30">
        <w:rPr>
          <w:rFonts w:ascii="仿宋_GB2312" w:eastAsia="仿宋_GB2312" w:hAnsi="宋体" w:cs="宋体" w:hint="eastAsia"/>
          <w:color w:val="333333"/>
          <w:sz w:val="32"/>
          <w:szCs w:val="32"/>
        </w:rPr>
        <w:t>形式不够</w:t>
      </w:r>
      <w:r w:rsidRPr="00503B30">
        <w:rPr>
          <w:rFonts w:ascii="仿宋_GB2312" w:eastAsia="仿宋_GB2312" w:hAnsi="宋体" w:cs="宋体"/>
          <w:color w:val="333333"/>
          <w:sz w:val="32"/>
          <w:szCs w:val="32"/>
        </w:rPr>
        <w:t>丰富。</w:t>
      </w:r>
    </w:p>
    <w:p w:rsidR="00503B30" w:rsidRPr="00503B30" w:rsidRDefault="00503B30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仿宋_GB2312" w:eastAsia="仿宋_GB2312" w:hAnsi="宋体" w:cs="宋体"/>
          <w:color w:val="333333"/>
          <w:sz w:val="32"/>
          <w:szCs w:val="32"/>
        </w:rPr>
      </w:pPr>
    </w:p>
    <w:p w:rsidR="00560484" w:rsidRPr="00503B30" w:rsidRDefault="00E67778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楷体" w:eastAsia="楷体" w:hAnsi="楷体" w:cs="宋体"/>
          <w:color w:val="333333"/>
          <w:sz w:val="32"/>
          <w:szCs w:val="32"/>
        </w:rPr>
      </w:pPr>
      <w:r w:rsidRPr="00503B30">
        <w:rPr>
          <w:rFonts w:ascii="楷体" w:eastAsia="楷体" w:hAnsi="楷体" w:cs="宋体" w:hint="eastAsia"/>
          <w:b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 w:rsidR="00560484" w:rsidRPr="00503B30" w:rsidRDefault="00E67778" w:rsidP="00503B30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仿宋_GB2312" w:eastAsia="仿宋_GB2312" w:hAnsi="宋体" w:cs="宋体"/>
          <w:color w:val="333333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sz w:val="32"/>
          <w:szCs w:val="32"/>
        </w:rPr>
        <w:t>依据《政府信息公开信息处理费管理办法》，2022年晋江市卫生健康局未产生政府信息公开处理费用。</w:t>
      </w:r>
    </w:p>
    <w:p w:rsidR="00503B30" w:rsidRPr="00503B30" w:rsidRDefault="00503B30" w:rsidP="00503B30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仿宋_GB2312" w:eastAsia="仿宋_GB2312" w:hAnsi="宋体" w:cs="宋体"/>
          <w:color w:val="333333"/>
          <w:sz w:val="32"/>
          <w:szCs w:val="32"/>
        </w:rPr>
      </w:pPr>
    </w:p>
    <w:p w:rsidR="00560484" w:rsidRPr="00503B30" w:rsidRDefault="00E67778" w:rsidP="00503B30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right"/>
        <w:rPr>
          <w:rFonts w:ascii="仿宋_GB2312" w:eastAsia="仿宋_GB2312" w:hAnsi="宋体" w:cs="宋体"/>
          <w:color w:val="333333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sz w:val="32"/>
          <w:szCs w:val="32"/>
        </w:rPr>
        <w:t>晋江市卫生健康局</w:t>
      </w:r>
    </w:p>
    <w:p w:rsidR="00560484" w:rsidRPr="00503B30" w:rsidRDefault="00E67778" w:rsidP="00503B30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right"/>
        <w:rPr>
          <w:rFonts w:ascii="仿宋_GB2312" w:eastAsia="仿宋_GB2312" w:hAnsi="宋体" w:cs="宋体"/>
          <w:color w:val="333333"/>
          <w:sz w:val="32"/>
          <w:szCs w:val="32"/>
        </w:rPr>
      </w:pPr>
      <w:r w:rsidRPr="00503B30">
        <w:rPr>
          <w:rFonts w:ascii="仿宋_GB2312" w:eastAsia="仿宋_GB2312" w:hAnsi="宋体" w:cs="宋体" w:hint="eastAsia"/>
          <w:color w:val="333333"/>
          <w:sz w:val="32"/>
          <w:szCs w:val="32"/>
        </w:rPr>
        <w:t>202</w:t>
      </w:r>
      <w:r w:rsidR="00503B30" w:rsidRPr="00503B30">
        <w:rPr>
          <w:rFonts w:ascii="仿宋_GB2312" w:eastAsia="仿宋_GB2312" w:hAnsi="宋体" w:cs="宋体" w:hint="eastAsia"/>
          <w:color w:val="333333"/>
          <w:sz w:val="32"/>
          <w:szCs w:val="32"/>
        </w:rPr>
        <w:t>3</w:t>
      </w:r>
      <w:r w:rsidRPr="00503B30">
        <w:rPr>
          <w:rFonts w:ascii="仿宋_GB2312" w:eastAsia="仿宋_GB2312" w:hAnsi="宋体" w:cs="宋体" w:hint="eastAsia"/>
          <w:color w:val="333333"/>
          <w:sz w:val="32"/>
          <w:szCs w:val="32"/>
        </w:rPr>
        <w:t>年1月10日</w:t>
      </w:r>
    </w:p>
    <w:sectPr w:rsidR="00560484" w:rsidRPr="00503B30" w:rsidSect="0056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E22" w:rsidRDefault="00A05E22" w:rsidP="00DB385F">
      <w:r>
        <w:separator/>
      </w:r>
    </w:p>
  </w:endnote>
  <w:endnote w:type="continuationSeparator" w:id="0">
    <w:p w:rsidR="00A05E22" w:rsidRDefault="00A05E22" w:rsidP="00DB3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E22" w:rsidRDefault="00A05E22" w:rsidP="00DB385F">
      <w:r>
        <w:separator/>
      </w:r>
    </w:p>
  </w:footnote>
  <w:footnote w:type="continuationSeparator" w:id="0">
    <w:p w:rsidR="00A05E22" w:rsidRDefault="00A05E22" w:rsidP="00DB3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lkNWNkMzg5MmQyYzViZDAwZmQ2MTFhZDBlMDMxNDUifQ=="/>
  </w:docVars>
  <w:rsids>
    <w:rsidRoot w:val="51866579"/>
    <w:rsid w:val="00015CD6"/>
    <w:rsid w:val="00020FCE"/>
    <w:rsid w:val="00250D13"/>
    <w:rsid w:val="00411761"/>
    <w:rsid w:val="004B620C"/>
    <w:rsid w:val="00503B30"/>
    <w:rsid w:val="00556DED"/>
    <w:rsid w:val="00560484"/>
    <w:rsid w:val="00674E85"/>
    <w:rsid w:val="006A1FDD"/>
    <w:rsid w:val="006A68AC"/>
    <w:rsid w:val="006F1272"/>
    <w:rsid w:val="00931E7E"/>
    <w:rsid w:val="009B29B3"/>
    <w:rsid w:val="00A05E22"/>
    <w:rsid w:val="00B02D11"/>
    <w:rsid w:val="00D54C7E"/>
    <w:rsid w:val="00DB385F"/>
    <w:rsid w:val="00E67778"/>
    <w:rsid w:val="00EA02B0"/>
    <w:rsid w:val="00F25C88"/>
    <w:rsid w:val="00F85635"/>
    <w:rsid w:val="2963678F"/>
    <w:rsid w:val="3D7D1E39"/>
    <w:rsid w:val="5186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4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048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B3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38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B3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38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WPS_1461516183</dc:creator>
  <cp:lastModifiedBy>Administrator</cp:lastModifiedBy>
  <cp:revision>12</cp:revision>
  <dcterms:created xsi:type="dcterms:W3CDTF">2023-01-09T01:29:00Z</dcterms:created>
  <dcterms:modified xsi:type="dcterms:W3CDTF">2023-03-07T09:05:00Z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DC9DB8B425CA48C6A097C70DF54CB517</vt:lpwstr>
  </property>
</Properties>
</file>