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6FA55E5">
      <w:pPr>
        <w:keepNext w:val="0"/>
        <w:keepLines w:val="0"/>
        <w:pageBreakBefore w:val="0"/>
        <w:widowControl/>
        <w:tabs>
          <w:tab w:val="left" w:pos="3518"/>
        </w:tabs>
        <w:kinsoku w:val="0"/>
        <w:wordWrap/>
        <w:overflowPunct/>
        <w:topLinePunct w:val="0"/>
        <w:autoSpaceDE w:val="0"/>
        <w:autoSpaceDN w:val="0"/>
        <w:bidi w:val="0"/>
        <w:adjustRightInd w:val="0"/>
        <w:snapToGrid w:val="0"/>
        <w:spacing w:line="300" w:lineRule="auto"/>
        <w:jc w:val="center"/>
        <w:textAlignment w:val="baseline"/>
        <w:rPr>
          <w:rFonts w:hint="eastAsia" w:ascii="黑体" w:hAnsi="黑体" w:eastAsia="黑体" w:cs="黑体"/>
          <w:spacing w:val="-2"/>
          <w:sz w:val="44"/>
          <w:szCs w:val="44"/>
        </w:rPr>
      </w:pPr>
      <w:r>
        <w:rPr>
          <w:rFonts w:hint="eastAsia" w:ascii="黑体" w:hAnsi="黑体" w:eastAsia="黑体" w:cs="黑体"/>
          <w:spacing w:val="-2"/>
          <w:sz w:val="44"/>
          <w:szCs w:val="44"/>
        </w:rPr>
        <w:t>晋江市市场监督管理局</w:t>
      </w:r>
    </w:p>
    <w:p w14:paraId="26C1BCD2">
      <w:pPr>
        <w:keepNext w:val="0"/>
        <w:keepLines w:val="0"/>
        <w:pageBreakBefore w:val="0"/>
        <w:widowControl/>
        <w:tabs>
          <w:tab w:val="left" w:pos="3518"/>
        </w:tabs>
        <w:kinsoku w:val="0"/>
        <w:wordWrap/>
        <w:overflowPunct/>
        <w:topLinePunct w:val="0"/>
        <w:autoSpaceDE w:val="0"/>
        <w:autoSpaceDN w:val="0"/>
        <w:bidi w:val="0"/>
        <w:adjustRightInd w:val="0"/>
        <w:snapToGrid w:val="0"/>
        <w:spacing w:line="300" w:lineRule="auto"/>
        <w:jc w:val="center"/>
        <w:textAlignment w:val="baseline"/>
        <w:rPr>
          <w:rFonts w:hint="eastAsia" w:ascii="黑体" w:hAnsi="黑体" w:eastAsia="黑体" w:cs="黑体"/>
          <w:sz w:val="44"/>
          <w:szCs w:val="44"/>
        </w:rPr>
      </w:pPr>
      <w:r>
        <w:rPr>
          <w:rFonts w:hint="eastAsia" w:ascii="黑体" w:hAnsi="黑体" w:eastAsia="黑体" w:cs="黑体"/>
          <w:spacing w:val="-1"/>
          <w:sz w:val="44"/>
          <w:szCs w:val="44"/>
        </w:rPr>
        <w:t>行政</w:t>
      </w:r>
      <w:r>
        <w:rPr>
          <w:rFonts w:hint="eastAsia" w:ascii="黑体" w:hAnsi="黑体" w:eastAsia="黑体" w:cs="黑体"/>
          <w:spacing w:val="-1"/>
          <w:sz w:val="44"/>
          <w:szCs w:val="44"/>
          <w:lang w:eastAsia="zh-CN"/>
        </w:rPr>
        <w:t>处</w:t>
      </w:r>
      <w:r>
        <w:rPr>
          <w:rFonts w:hint="eastAsia" w:ascii="黑体" w:hAnsi="黑体" w:eastAsia="黑体" w:cs="黑体"/>
          <w:spacing w:val="-1"/>
          <w:sz w:val="44"/>
          <w:szCs w:val="44"/>
        </w:rPr>
        <w:t>罚决定书</w:t>
      </w:r>
    </w:p>
    <w:p w14:paraId="716F300E">
      <w:pPr>
        <w:keepNext w:val="0"/>
        <w:keepLines w:val="0"/>
        <w:pageBreakBefore w:val="0"/>
        <w:widowControl/>
        <w:tabs>
          <w:tab w:val="left" w:pos="2725"/>
        </w:tabs>
        <w:kinsoku w:val="0"/>
        <w:wordWrap/>
        <w:overflowPunct/>
        <w:topLinePunct w:val="0"/>
        <w:autoSpaceDE w:val="0"/>
        <w:autoSpaceDN w:val="0"/>
        <w:bidi w:val="0"/>
        <w:adjustRightInd w:val="0"/>
        <w:snapToGrid w:val="0"/>
        <w:spacing w:before="157" w:beforeLines="50" w:after="157" w:afterLines="50" w:line="240" w:lineRule="auto"/>
        <w:jc w:val="center"/>
        <w:textAlignment w:val="baseline"/>
        <w:rPr>
          <w:rFonts w:hint="eastAsia" w:ascii="仿宋" w:hAnsi="仿宋" w:eastAsia="仿宋" w:cs="仿宋"/>
          <w:spacing w:val="-7"/>
          <w:sz w:val="32"/>
          <w:szCs w:val="32"/>
        </w:rPr>
      </w:pPr>
      <w:r>
        <w:rPr>
          <w:rFonts w:hint="eastAsia" w:ascii="仿宋" w:hAnsi="仿宋" w:eastAsia="仿宋" w:cs="仿宋"/>
          <w:spacing w:val="-7"/>
          <w:sz w:val="32"/>
          <w:szCs w:val="32"/>
        </w:rPr>
        <w:t>晋市监</w:t>
      </w:r>
      <w:r>
        <w:rPr>
          <w:rFonts w:hint="eastAsia" w:ascii="仿宋" w:hAnsi="仿宋" w:eastAsia="仿宋" w:cs="仿宋"/>
          <w:spacing w:val="-7"/>
          <w:sz w:val="32"/>
          <w:szCs w:val="32"/>
          <w:lang w:eastAsia="zh-CN"/>
        </w:rPr>
        <w:t>处罚</w:t>
      </w:r>
      <w:r>
        <w:rPr>
          <w:rFonts w:hint="eastAsia" w:ascii="仿宋" w:hAnsi="仿宋" w:eastAsia="仿宋" w:cs="仿宋"/>
          <w:spacing w:val="-7"/>
          <w:sz w:val="32"/>
          <w:szCs w:val="32"/>
        </w:rPr>
        <w:t>〔202</w:t>
      </w:r>
      <w:r>
        <w:rPr>
          <w:rFonts w:hint="eastAsia" w:ascii="仿宋" w:hAnsi="仿宋" w:eastAsia="仿宋" w:cs="仿宋"/>
          <w:spacing w:val="-7"/>
          <w:sz w:val="32"/>
          <w:szCs w:val="32"/>
          <w:lang w:val="en-US" w:eastAsia="zh-CN"/>
        </w:rPr>
        <w:t>6</w:t>
      </w:r>
      <w:r>
        <w:rPr>
          <w:rFonts w:hint="eastAsia" w:ascii="仿宋" w:hAnsi="仿宋" w:eastAsia="仿宋" w:cs="仿宋"/>
          <w:spacing w:val="-7"/>
          <w:sz w:val="32"/>
          <w:szCs w:val="32"/>
        </w:rPr>
        <w:t>〕</w:t>
      </w:r>
      <w:r>
        <w:rPr>
          <w:rFonts w:hint="eastAsia" w:ascii="仿宋" w:hAnsi="仿宋" w:eastAsia="仿宋" w:cs="仿宋"/>
          <w:spacing w:val="-7"/>
          <w:sz w:val="32"/>
          <w:szCs w:val="32"/>
          <w:highlight w:val="none"/>
        </w:rPr>
        <w:t>10-</w:t>
      </w:r>
      <w:r>
        <w:rPr>
          <w:rFonts w:hint="eastAsia" w:ascii="仿宋" w:hAnsi="仿宋" w:eastAsia="仿宋" w:cs="仿宋"/>
          <w:spacing w:val="-7"/>
          <w:sz w:val="32"/>
          <w:szCs w:val="32"/>
          <w:highlight w:val="none"/>
          <w:lang w:val="en-US" w:eastAsia="zh-CN"/>
        </w:rPr>
        <w:t>028</w:t>
      </w:r>
      <w:r>
        <w:rPr>
          <w:rFonts w:hint="eastAsia" w:ascii="仿宋" w:hAnsi="仿宋" w:eastAsia="仿宋" w:cs="仿宋"/>
          <w:spacing w:val="-7"/>
          <w:sz w:val="32"/>
          <w:szCs w:val="32"/>
        </w:rPr>
        <w:t>号</w:t>
      </w:r>
    </w:p>
    <w:p w14:paraId="34628FA6">
      <w:pPr>
        <w:keepNext w:val="0"/>
        <w:keepLines w:val="0"/>
        <w:pageBreakBefore w:val="0"/>
        <w:widowControl w:val="0"/>
        <w:kinsoku/>
        <w:wordWrap/>
        <w:overflowPunct w:val="0"/>
        <w:topLinePunct/>
        <w:autoSpaceDE w:val="0"/>
        <w:autoSpaceDN w:val="0"/>
        <w:bidi w:val="0"/>
        <w:adjustRightInd w:val="0"/>
        <w:snapToGrid w:val="0"/>
        <w:spacing w:line="500" w:lineRule="exact"/>
        <w:ind w:right="0"/>
        <w:jc w:val="both"/>
        <w:textAlignment w:val="baseline"/>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当事人：晋江市深沪镇于伟糖品厂</w:t>
      </w:r>
    </w:p>
    <w:p w14:paraId="590F14C2">
      <w:pPr>
        <w:keepNext w:val="0"/>
        <w:keepLines w:val="0"/>
        <w:pageBreakBefore w:val="0"/>
        <w:widowControl w:val="0"/>
        <w:kinsoku/>
        <w:wordWrap/>
        <w:overflowPunct w:val="0"/>
        <w:topLinePunct/>
        <w:autoSpaceDE w:val="0"/>
        <w:autoSpaceDN w:val="0"/>
        <w:bidi w:val="0"/>
        <w:adjustRightInd w:val="0"/>
        <w:snapToGrid w:val="0"/>
        <w:spacing w:line="500" w:lineRule="exact"/>
        <w:ind w:right="0"/>
        <w:jc w:val="both"/>
        <w:textAlignment w:val="baseline"/>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主体资格证照名称：营业执照</w:t>
      </w:r>
    </w:p>
    <w:p w14:paraId="0E68D929">
      <w:pPr>
        <w:keepNext w:val="0"/>
        <w:keepLines w:val="0"/>
        <w:pageBreakBefore w:val="0"/>
        <w:widowControl w:val="0"/>
        <w:kinsoku/>
        <w:wordWrap/>
        <w:overflowPunct w:val="0"/>
        <w:topLinePunct/>
        <w:autoSpaceDE w:val="0"/>
        <w:autoSpaceDN w:val="0"/>
        <w:bidi w:val="0"/>
        <w:adjustRightInd w:val="0"/>
        <w:snapToGrid w:val="0"/>
        <w:spacing w:line="500" w:lineRule="exact"/>
        <w:ind w:right="0"/>
        <w:jc w:val="both"/>
        <w:textAlignment w:val="baseline"/>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统一社会信用代码：92350582MA335HMF1L</w:t>
      </w:r>
    </w:p>
    <w:p w14:paraId="29E106D0">
      <w:pPr>
        <w:keepNext w:val="0"/>
        <w:keepLines w:val="0"/>
        <w:pageBreakBefore w:val="0"/>
        <w:widowControl w:val="0"/>
        <w:kinsoku/>
        <w:wordWrap/>
        <w:overflowPunct w:val="0"/>
        <w:topLinePunct/>
        <w:autoSpaceDE w:val="0"/>
        <w:autoSpaceDN w:val="0"/>
        <w:bidi w:val="0"/>
        <w:adjustRightInd w:val="0"/>
        <w:snapToGrid w:val="0"/>
        <w:spacing w:line="500" w:lineRule="exact"/>
        <w:ind w:right="0"/>
        <w:jc w:val="both"/>
        <w:textAlignment w:val="baseline"/>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福建省食品生产加工小作坊登记证</w:t>
      </w:r>
      <w:bookmarkStart w:id="0" w:name="_GoBack"/>
      <w:bookmarkEnd w:id="0"/>
      <w:r>
        <w:rPr>
          <w:rFonts w:hint="eastAsia" w:ascii="仿宋" w:hAnsi="仿宋" w:eastAsia="仿宋" w:cs="仿宋"/>
          <w:sz w:val="32"/>
          <w:szCs w:val="32"/>
          <w:lang w:val="en-US" w:eastAsia="zh-CN"/>
        </w:rPr>
        <w:t>号：食坊字第3505820123号</w:t>
      </w:r>
    </w:p>
    <w:p w14:paraId="455F208C">
      <w:pPr>
        <w:keepNext w:val="0"/>
        <w:keepLines w:val="0"/>
        <w:pageBreakBefore w:val="0"/>
        <w:widowControl w:val="0"/>
        <w:kinsoku/>
        <w:wordWrap/>
        <w:overflowPunct w:val="0"/>
        <w:topLinePunct/>
        <w:autoSpaceDE w:val="0"/>
        <w:autoSpaceDN w:val="0"/>
        <w:bidi w:val="0"/>
        <w:adjustRightInd w:val="0"/>
        <w:snapToGrid w:val="0"/>
        <w:spacing w:line="500" w:lineRule="exact"/>
        <w:ind w:right="0"/>
        <w:jc w:val="both"/>
        <w:textAlignment w:val="baseline"/>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住所：晋江市深沪镇XX</w:t>
      </w:r>
    </w:p>
    <w:p w14:paraId="6787B8AE">
      <w:pPr>
        <w:keepNext w:val="0"/>
        <w:keepLines w:val="0"/>
        <w:pageBreakBefore w:val="0"/>
        <w:widowControl w:val="0"/>
        <w:kinsoku/>
        <w:wordWrap/>
        <w:overflowPunct w:val="0"/>
        <w:topLinePunct/>
        <w:autoSpaceDE w:val="0"/>
        <w:autoSpaceDN w:val="0"/>
        <w:bidi w:val="0"/>
        <w:adjustRightInd w:val="0"/>
        <w:snapToGrid w:val="0"/>
        <w:spacing w:line="500" w:lineRule="exact"/>
        <w:ind w:right="0"/>
        <w:jc w:val="both"/>
        <w:textAlignment w:val="baseline"/>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经营者：XXX</w:t>
      </w:r>
    </w:p>
    <w:p w14:paraId="15AEE9EA">
      <w:pPr>
        <w:keepNext w:val="0"/>
        <w:keepLines w:val="0"/>
        <w:pageBreakBefore w:val="0"/>
        <w:widowControl w:val="0"/>
        <w:kinsoku/>
        <w:wordWrap/>
        <w:overflowPunct w:val="0"/>
        <w:topLinePunct/>
        <w:autoSpaceDE w:val="0"/>
        <w:autoSpaceDN w:val="0"/>
        <w:bidi w:val="0"/>
        <w:adjustRightInd w:val="0"/>
        <w:snapToGrid w:val="0"/>
        <w:spacing w:line="500" w:lineRule="exact"/>
        <w:ind w:right="0" w:firstLine="640" w:firstLineChars="200"/>
        <w:jc w:val="both"/>
        <w:textAlignment w:val="baseline"/>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2026年5月26日，本局在国家市场监督管理总局食品安全智慧监管系统中收到广东省科学院生物与医学工程研究所的食品安全监督抽检检验报告（№: GCJ26007991），报告显示被抽样单位晋江市深沪镇于伟糖品厂生产的“深沪冰饼”（豆饼，生产日期：2026.4.24，规格：330g/包）在食品安全监督抽检中，经检验，菌落总数项目不符合 GB 7099-2015《食品安全国家标准 糕点、面包》要求，检验结论为不合格，检验结论为不合格（实测值为①1.2×10</w:t>
      </w:r>
      <w:r>
        <w:rPr>
          <w:rFonts w:hint="eastAsia" w:ascii="仿宋" w:hAnsi="仿宋" w:eastAsia="仿宋" w:cs="仿宋"/>
          <w:sz w:val="32"/>
          <w:szCs w:val="32"/>
          <w:vertAlign w:val="superscript"/>
          <w:lang w:val="en-US" w:eastAsia="zh-CN"/>
        </w:rPr>
        <w:t>4</w:t>
      </w:r>
      <w:r>
        <w:rPr>
          <w:rFonts w:hint="eastAsia" w:ascii="仿宋" w:hAnsi="仿宋" w:eastAsia="仿宋" w:cs="仿宋"/>
          <w:sz w:val="32"/>
          <w:szCs w:val="32"/>
          <w:lang w:val="en-US" w:eastAsia="zh-CN"/>
        </w:rPr>
        <w:t>;②4.9×10</w:t>
      </w:r>
      <w:r>
        <w:rPr>
          <w:rFonts w:hint="eastAsia" w:ascii="仿宋" w:hAnsi="仿宋" w:eastAsia="仿宋" w:cs="仿宋"/>
          <w:sz w:val="32"/>
          <w:szCs w:val="32"/>
          <w:vertAlign w:val="superscript"/>
          <w:lang w:val="en-US" w:eastAsia="zh-CN"/>
        </w:rPr>
        <w:t>3</w:t>
      </w:r>
      <w:r>
        <w:rPr>
          <w:rFonts w:hint="eastAsia" w:ascii="仿宋" w:hAnsi="仿宋" w:eastAsia="仿宋" w:cs="仿宋"/>
          <w:sz w:val="32"/>
          <w:szCs w:val="32"/>
          <w:lang w:val="en-US" w:eastAsia="zh-CN"/>
        </w:rPr>
        <w:t>;③8.6×10</w:t>
      </w:r>
      <w:r>
        <w:rPr>
          <w:rFonts w:hint="eastAsia" w:ascii="仿宋" w:hAnsi="仿宋" w:eastAsia="仿宋" w:cs="仿宋"/>
          <w:sz w:val="32"/>
          <w:szCs w:val="32"/>
          <w:vertAlign w:val="superscript"/>
          <w:lang w:val="en-US" w:eastAsia="zh-CN"/>
        </w:rPr>
        <w:t>4</w:t>
      </w:r>
      <w:r>
        <w:rPr>
          <w:rFonts w:hint="eastAsia" w:ascii="仿宋" w:hAnsi="仿宋" w:eastAsia="仿宋" w:cs="仿宋"/>
          <w:sz w:val="32"/>
          <w:szCs w:val="32"/>
          <w:lang w:val="en-US" w:eastAsia="zh-CN"/>
        </w:rPr>
        <w:t>;④3.0×10</w:t>
      </w:r>
      <w:r>
        <w:rPr>
          <w:rFonts w:hint="eastAsia" w:ascii="仿宋" w:hAnsi="仿宋" w:eastAsia="仿宋" w:cs="仿宋"/>
          <w:sz w:val="32"/>
          <w:szCs w:val="32"/>
          <w:vertAlign w:val="superscript"/>
          <w:lang w:val="en-US" w:eastAsia="zh-CN"/>
        </w:rPr>
        <w:t>5</w:t>
      </w:r>
      <w:r>
        <w:rPr>
          <w:rFonts w:hint="eastAsia" w:ascii="仿宋" w:hAnsi="仿宋" w:eastAsia="仿宋" w:cs="仿宋"/>
          <w:sz w:val="32"/>
          <w:szCs w:val="32"/>
          <w:lang w:val="en-US" w:eastAsia="zh-CN"/>
        </w:rPr>
        <w:t>;⑤1.3×10</w:t>
      </w:r>
      <w:r>
        <w:rPr>
          <w:rFonts w:hint="eastAsia" w:ascii="仿宋" w:hAnsi="仿宋" w:eastAsia="仿宋" w:cs="仿宋"/>
          <w:sz w:val="32"/>
          <w:szCs w:val="32"/>
          <w:vertAlign w:val="superscript"/>
          <w:lang w:val="en-US" w:eastAsia="zh-CN"/>
        </w:rPr>
        <w:t>5</w:t>
      </w:r>
      <w:r>
        <w:rPr>
          <w:rFonts w:hint="eastAsia" w:ascii="仿宋" w:hAnsi="仿宋" w:eastAsia="仿宋" w:cs="仿宋"/>
          <w:sz w:val="32"/>
          <w:szCs w:val="32"/>
          <w:lang w:val="en-US" w:eastAsia="zh-CN"/>
        </w:rPr>
        <w:t>）。2026年5月28日,本局深沪所执法人员依法对当事人生产经营场所进行执法检查并送达上述豆饼监督抽检检验报告（№: GCJ26007991），当事人当场签收，对检验结果没有异议，在规定时间内也没有提出异议申请。现场检查未发现有与2026年4月24日监督抽检同批次及其他批次的豆饼产品库存，现场未采取强制措施。当事人的行为涉嫌违反《中华人民共和国食品安全法》第三十四条第十三项的规定。</w:t>
      </w:r>
    </w:p>
    <w:p w14:paraId="7300831E">
      <w:pPr>
        <w:keepNext w:val="0"/>
        <w:keepLines w:val="0"/>
        <w:pageBreakBefore w:val="0"/>
        <w:widowControl w:val="0"/>
        <w:kinsoku/>
        <w:wordWrap/>
        <w:overflowPunct w:val="0"/>
        <w:topLinePunct/>
        <w:autoSpaceDE w:val="0"/>
        <w:autoSpaceDN w:val="0"/>
        <w:bidi w:val="0"/>
        <w:adjustRightInd w:val="0"/>
        <w:snapToGrid w:val="0"/>
        <w:spacing w:line="500" w:lineRule="exact"/>
        <w:ind w:right="0" w:firstLine="640" w:firstLineChars="200"/>
        <w:jc w:val="both"/>
        <w:textAlignment w:val="baseline"/>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经查明，当事人在食品安全监督抽检中，经检验菌落总数项目（实测值为①1.2×10</w:t>
      </w:r>
      <w:r>
        <w:rPr>
          <w:rFonts w:hint="eastAsia" w:ascii="仿宋" w:hAnsi="仿宋" w:eastAsia="仿宋" w:cs="仿宋"/>
          <w:sz w:val="32"/>
          <w:szCs w:val="32"/>
          <w:vertAlign w:val="superscript"/>
          <w:lang w:val="en-US" w:eastAsia="zh-CN"/>
        </w:rPr>
        <w:t xml:space="preserve">4 </w:t>
      </w:r>
      <w:r>
        <w:rPr>
          <w:rFonts w:hint="eastAsia" w:ascii="仿宋" w:hAnsi="仿宋" w:eastAsia="仿宋" w:cs="仿宋"/>
          <w:sz w:val="32"/>
          <w:szCs w:val="32"/>
          <w:lang w:val="en-US" w:eastAsia="zh-CN"/>
        </w:rPr>
        <w:t>;②4.9×10</w:t>
      </w:r>
      <w:r>
        <w:rPr>
          <w:rFonts w:hint="eastAsia" w:ascii="仿宋" w:hAnsi="仿宋" w:eastAsia="仿宋" w:cs="仿宋"/>
          <w:sz w:val="32"/>
          <w:szCs w:val="32"/>
          <w:vertAlign w:val="superscript"/>
          <w:lang w:val="en-US" w:eastAsia="zh-CN"/>
        </w:rPr>
        <w:t xml:space="preserve">3 </w:t>
      </w:r>
      <w:r>
        <w:rPr>
          <w:rFonts w:hint="eastAsia" w:ascii="仿宋" w:hAnsi="仿宋" w:eastAsia="仿宋" w:cs="仿宋"/>
          <w:sz w:val="32"/>
          <w:szCs w:val="32"/>
          <w:lang w:val="en-US" w:eastAsia="zh-CN"/>
        </w:rPr>
        <w:t>;③8.6×10</w:t>
      </w:r>
      <w:r>
        <w:rPr>
          <w:rFonts w:hint="eastAsia" w:ascii="仿宋" w:hAnsi="仿宋" w:eastAsia="仿宋" w:cs="仿宋"/>
          <w:sz w:val="32"/>
          <w:szCs w:val="32"/>
          <w:vertAlign w:val="superscript"/>
          <w:lang w:val="en-US" w:eastAsia="zh-CN"/>
        </w:rPr>
        <w:t xml:space="preserve">4 </w:t>
      </w:r>
      <w:r>
        <w:rPr>
          <w:rFonts w:hint="eastAsia" w:ascii="仿宋" w:hAnsi="仿宋" w:eastAsia="仿宋" w:cs="仿宋"/>
          <w:sz w:val="32"/>
          <w:szCs w:val="32"/>
          <w:lang w:val="en-US" w:eastAsia="zh-CN"/>
        </w:rPr>
        <w:t>;④3.0×10</w:t>
      </w:r>
      <w:r>
        <w:rPr>
          <w:rFonts w:hint="eastAsia" w:ascii="仿宋" w:hAnsi="仿宋" w:eastAsia="仿宋" w:cs="仿宋"/>
          <w:sz w:val="32"/>
          <w:szCs w:val="32"/>
          <w:vertAlign w:val="superscript"/>
          <w:lang w:val="en-US" w:eastAsia="zh-CN"/>
        </w:rPr>
        <w:t xml:space="preserve">5 </w:t>
      </w:r>
      <w:r>
        <w:rPr>
          <w:rFonts w:hint="eastAsia" w:ascii="仿宋" w:hAnsi="仿宋" w:eastAsia="仿宋" w:cs="仿宋"/>
          <w:sz w:val="32"/>
          <w:szCs w:val="32"/>
          <w:lang w:val="en-US" w:eastAsia="zh-CN"/>
        </w:rPr>
        <w:t>;⑤1.3×10</w:t>
      </w:r>
      <w:r>
        <w:rPr>
          <w:rFonts w:hint="eastAsia" w:ascii="仿宋" w:hAnsi="仿宋" w:eastAsia="仿宋" w:cs="仿宋"/>
          <w:sz w:val="32"/>
          <w:szCs w:val="32"/>
          <w:vertAlign w:val="superscript"/>
          <w:lang w:val="en-US" w:eastAsia="zh-CN"/>
        </w:rPr>
        <w:t xml:space="preserve">5 </w:t>
      </w:r>
      <w:r>
        <w:rPr>
          <w:rFonts w:hint="eastAsia" w:ascii="仿宋" w:hAnsi="仿宋" w:eastAsia="仿宋" w:cs="仿宋"/>
          <w:sz w:val="32"/>
          <w:szCs w:val="32"/>
          <w:lang w:val="en-US" w:eastAsia="zh-CN"/>
        </w:rPr>
        <w:t>）不合格的“深沪冰饼”（豆饼，生产日期：2026.4.24，规格：330g/包）生产数量共53包，其原料成本4.55元/包，水电包装成本0.45元/包，合计总成本5元/包，售价7元/包，已全部售出，其中用于监督抽检数量为6.6kg（20包）。根据当事人生产加工上述批次涉案豆饼产品的投料记录表所记录的原料用量及当事人采购各种原料的单据计算，上述涉案批次产品的原料直接支出总成本为241.15元。当事人于2026年5月28日开展召回工作，截至2026年6月25日召回期满，召回数为0。当事人生产加工上述批次豆饼产品所使用的原料为小麦粉、脱皮绿豆、食用油、白砂糖、水、食品添加剂（山梨酸钾）、食用香精（香蕉油）。经当事人排查分析，上述批次豆饼产品不合格的原因是生产过程控制未落实到位，包装豆饼时手部清洗消毒不到位。据此认定，本案涉案货值371元，违法所得129.85元。</w:t>
      </w:r>
    </w:p>
    <w:p w14:paraId="770601C4">
      <w:pPr>
        <w:keepNext w:val="0"/>
        <w:keepLines w:val="0"/>
        <w:pageBreakBefore w:val="0"/>
        <w:widowControl w:val="0"/>
        <w:kinsoku/>
        <w:wordWrap/>
        <w:overflowPunct w:val="0"/>
        <w:topLinePunct/>
        <w:autoSpaceDE w:val="0"/>
        <w:autoSpaceDN w:val="0"/>
        <w:bidi w:val="0"/>
        <w:adjustRightInd w:val="0"/>
        <w:snapToGrid w:val="0"/>
        <w:spacing w:line="500" w:lineRule="exact"/>
        <w:ind w:right="0" w:firstLine="640" w:firstLineChars="200"/>
        <w:jc w:val="both"/>
        <w:textAlignment w:val="baseline"/>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2024年5月31日，当事人因生产经营超范围使用食品添加剂的豆饼受到我局行政处罚；2026年2月26日，当事人因生产经营超限量使用食品添加剂的豆饼再次受到我局行政处罚。</w:t>
      </w:r>
    </w:p>
    <w:p w14:paraId="23A1AEA2">
      <w:pPr>
        <w:keepNext w:val="0"/>
        <w:keepLines w:val="0"/>
        <w:pageBreakBefore w:val="0"/>
        <w:widowControl w:val="0"/>
        <w:kinsoku/>
        <w:wordWrap/>
        <w:overflowPunct w:val="0"/>
        <w:topLinePunct/>
        <w:autoSpaceDE w:val="0"/>
        <w:autoSpaceDN w:val="0"/>
        <w:bidi w:val="0"/>
        <w:adjustRightInd w:val="0"/>
        <w:snapToGrid w:val="0"/>
        <w:spacing w:line="500" w:lineRule="exact"/>
        <w:ind w:right="0" w:firstLine="640" w:firstLineChars="200"/>
        <w:jc w:val="both"/>
        <w:textAlignment w:val="baseline"/>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上述事实，主要有国家食品安全抽检监测信息系统页面截图；涉案豆饼食品安全监督抽检检验报告及食品安全抽样检验抽样单；当事人营业执照、福建省食品生产加工小作坊登记证、经营者身份证复印件；现场检查笔录及照片；监督抽检现场照片；询问笔录、投料记录、进货票据及台账、销售单据及台账；食品召回计划报告表、食品召回公告及照片、召回总结；食品原料供货商资质、食品原料检验验报告等材料；福建省一体化大融合行政执法平台查询情况截图、行政处罚决定书（晋市监处罚〔2026〕10-011号）等证据证实。</w:t>
      </w:r>
    </w:p>
    <w:p w14:paraId="0F9E17DC">
      <w:pPr>
        <w:keepNext w:val="0"/>
        <w:keepLines w:val="0"/>
        <w:pageBreakBefore w:val="0"/>
        <w:widowControl w:val="0"/>
        <w:kinsoku/>
        <w:wordWrap/>
        <w:overflowPunct w:val="0"/>
        <w:topLinePunct/>
        <w:autoSpaceDE w:val="0"/>
        <w:autoSpaceDN w:val="0"/>
        <w:bidi w:val="0"/>
        <w:adjustRightInd w:val="0"/>
        <w:snapToGrid w:val="0"/>
        <w:spacing w:line="500" w:lineRule="exact"/>
        <w:ind w:right="0" w:firstLine="640" w:firstLineChars="200"/>
        <w:jc w:val="both"/>
        <w:textAlignment w:val="baseline"/>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2026年8月12日，本局向当事人送达了《行政处罚告知书》（晋市监罚告〔2026〕10-36号），当事人在法定期限内未提出陈述、申辩，也未提出听证要求。</w:t>
      </w:r>
    </w:p>
    <w:p w14:paraId="66DF8FF3">
      <w:pPr>
        <w:keepNext w:val="0"/>
        <w:keepLines w:val="0"/>
        <w:pageBreakBefore w:val="0"/>
        <w:widowControl w:val="0"/>
        <w:kinsoku/>
        <w:wordWrap/>
        <w:overflowPunct w:val="0"/>
        <w:topLinePunct/>
        <w:autoSpaceDE w:val="0"/>
        <w:autoSpaceDN w:val="0"/>
        <w:bidi w:val="0"/>
        <w:adjustRightInd w:val="0"/>
        <w:snapToGrid w:val="0"/>
        <w:spacing w:line="500" w:lineRule="exact"/>
        <w:ind w:right="0" w:firstLine="640" w:firstLineChars="200"/>
        <w:jc w:val="both"/>
        <w:textAlignment w:val="baseline"/>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本案中，当事人生产不符合食品安全国家标准的豆饼产品，违反了《中华人民共和国食品安全法》第三十四条第十三项的规定，该行为事实清楚，证据充分。鉴于当事人积极配合市场监督管理部门调查，如实陈述违法事实并主动提供证据材料，符合《福建省市场监督管理行政处罚裁量权适用规则》第十一条第二项规定的可以从轻或减轻处罚的情形。当事人一年内因超限量使用食品添加剂生产加工豆饼被我局行政处罚，但此前未发生与此次违法行为同一性质的违法行为；结合《中华人民共和国行政处罚法》第五条“过罚相当原则”及第六条“处罚与教育相结合原则”；经综合考虑本案当事人主观过错程度、违法行为的情节、后果及危害程度，依据《中华人民共和国行政处罚法》第二十八条第一款，责令当事人改正上述违法行为，依据《中华人民共和国食品安全法》第一百二十四条第一款、第二款的规定，本局决定对当事人作出处理如下：</w:t>
      </w:r>
    </w:p>
    <w:p w14:paraId="07CE423E">
      <w:pPr>
        <w:keepNext w:val="0"/>
        <w:keepLines w:val="0"/>
        <w:pageBreakBefore w:val="0"/>
        <w:widowControl w:val="0"/>
        <w:kinsoku/>
        <w:wordWrap/>
        <w:overflowPunct w:val="0"/>
        <w:topLinePunct/>
        <w:autoSpaceDE w:val="0"/>
        <w:autoSpaceDN w:val="0"/>
        <w:bidi w:val="0"/>
        <w:adjustRightInd w:val="0"/>
        <w:snapToGrid w:val="0"/>
        <w:spacing w:line="500" w:lineRule="exact"/>
        <w:ind w:right="0" w:firstLine="640" w:firstLineChars="200"/>
        <w:jc w:val="both"/>
        <w:textAlignment w:val="baseline"/>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1、没收违法所得129.85元；</w:t>
      </w:r>
    </w:p>
    <w:p w14:paraId="10487A6F">
      <w:pPr>
        <w:keepNext w:val="0"/>
        <w:keepLines w:val="0"/>
        <w:pageBreakBefore w:val="0"/>
        <w:widowControl w:val="0"/>
        <w:kinsoku/>
        <w:wordWrap/>
        <w:overflowPunct w:val="0"/>
        <w:topLinePunct/>
        <w:autoSpaceDE w:val="0"/>
        <w:autoSpaceDN w:val="0"/>
        <w:bidi w:val="0"/>
        <w:adjustRightInd w:val="0"/>
        <w:snapToGrid w:val="0"/>
        <w:spacing w:line="500" w:lineRule="exact"/>
        <w:ind w:right="0" w:firstLine="640" w:firstLineChars="200"/>
        <w:jc w:val="both"/>
        <w:textAlignment w:val="baseline"/>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2、处以罚款30000元。</w:t>
      </w:r>
    </w:p>
    <w:p w14:paraId="25F118AF">
      <w:pPr>
        <w:keepNext w:val="0"/>
        <w:keepLines w:val="0"/>
        <w:pageBreakBefore w:val="0"/>
        <w:widowControl w:val="0"/>
        <w:kinsoku/>
        <w:wordWrap/>
        <w:overflowPunct w:val="0"/>
        <w:topLinePunct/>
        <w:autoSpaceDE w:val="0"/>
        <w:autoSpaceDN w:val="0"/>
        <w:bidi w:val="0"/>
        <w:adjustRightInd w:val="0"/>
        <w:snapToGrid w:val="0"/>
        <w:spacing w:line="500" w:lineRule="exact"/>
        <w:ind w:right="0" w:firstLine="640" w:firstLineChars="200"/>
        <w:jc w:val="both"/>
        <w:textAlignment w:val="baseline"/>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上述款项合计人民币30129.85元，当事人应当自收到本决定书之日起十五日内，持福建省政府非税收入缴款通知书通过银行网点或电子支付系统缴款，当事人逾期不履行行政处罚决定的，本局将依据《中华人民共和国行政处罚法》第七十二条第一款的规定，采取下列措施：（一）到期不缴纳罚款的，每日按罚款数额的百分之三加处罚款，加处罚款的数额不超出罚款的数额；（二）根据法律规定，将查封、扣押的财物拍卖、依法处理或者将冻结的存款、汇款划拨抵缴罚款；（三）根据法律规定，采取其他行政强制执行方式；（四）依照《中华人民共和国行政强制法》的规定申请人民法院强制执行。</w:t>
      </w:r>
    </w:p>
    <w:p w14:paraId="753CBADC">
      <w:pPr>
        <w:keepNext w:val="0"/>
        <w:keepLines w:val="0"/>
        <w:pageBreakBefore w:val="0"/>
        <w:widowControl w:val="0"/>
        <w:kinsoku/>
        <w:wordWrap/>
        <w:overflowPunct w:val="0"/>
        <w:topLinePunct/>
        <w:autoSpaceDE w:val="0"/>
        <w:autoSpaceDN w:val="0"/>
        <w:bidi w:val="0"/>
        <w:adjustRightInd w:val="0"/>
        <w:snapToGrid w:val="0"/>
        <w:spacing w:line="500" w:lineRule="exact"/>
        <w:ind w:right="0" w:firstLine="640" w:firstLineChars="200"/>
        <w:jc w:val="both"/>
        <w:textAlignment w:val="baseline"/>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当事人如对本行政处罚决定不服，可在接到本行政处罚决定书之日起六十日内向晋江市人民政府申请行政复议，也可以在六个月内依法向泉州市洛江区人民法院提起行政诉讼。申请行政复议或者提起行政诉讼期间，行政处罚不停止执行，法律、法规、规章另有规定的，从其规定。当事人在法定期限内不申请行政复议或者提起行政诉讼，又不履行本行政处罚决定的，我局将依法申请晋江市人民法院强制执行。</w:t>
      </w:r>
    </w:p>
    <w:p w14:paraId="31CE89AA">
      <w:pPr>
        <w:keepNext w:val="0"/>
        <w:keepLines w:val="0"/>
        <w:pageBreakBefore w:val="0"/>
        <w:widowControl w:val="0"/>
        <w:kinsoku/>
        <w:wordWrap/>
        <w:overflowPunct w:val="0"/>
        <w:topLinePunct/>
        <w:autoSpaceDE w:val="0"/>
        <w:autoSpaceDN w:val="0"/>
        <w:bidi w:val="0"/>
        <w:adjustRightInd w:val="0"/>
        <w:snapToGrid w:val="0"/>
        <w:spacing w:line="500" w:lineRule="exact"/>
        <w:ind w:right="0" w:firstLine="640" w:firstLineChars="200"/>
        <w:jc w:val="both"/>
        <w:textAlignment w:val="baseline"/>
        <w:rPr>
          <w:rFonts w:hint="eastAsia" w:ascii="仿宋" w:hAnsi="仿宋" w:eastAsia="仿宋" w:cs="仿宋"/>
          <w:sz w:val="32"/>
          <w:szCs w:val="32"/>
          <w:lang w:val="en-US" w:eastAsia="zh-CN"/>
        </w:rPr>
      </w:pPr>
    </w:p>
    <w:p w14:paraId="0FBF6495">
      <w:pPr>
        <w:keepNext w:val="0"/>
        <w:keepLines w:val="0"/>
        <w:pageBreakBefore w:val="0"/>
        <w:widowControl w:val="0"/>
        <w:kinsoku/>
        <w:wordWrap/>
        <w:overflowPunct w:val="0"/>
        <w:topLinePunct/>
        <w:autoSpaceDE w:val="0"/>
        <w:autoSpaceDN w:val="0"/>
        <w:bidi w:val="0"/>
        <w:adjustRightInd w:val="0"/>
        <w:snapToGrid w:val="0"/>
        <w:spacing w:line="500" w:lineRule="exact"/>
        <w:ind w:right="0" w:firstLine="640" w:firstLineChars="200"/>
        <w:jc w:val="both"/>
        <w:textAlignment w:val="baseline"/>
        <w:rPr>
          <w:rFonts w:hint="eastAsia" w:ascii="仿宋" w:hAnsi="仿宋" w:eastAsia="仿宋" w:cs="仿宋"/>
          <w:sz w:val="32"/>
          <w:szCs w:val="32"/>
          <w:lang w:val="en-US" w:eastAsia="zh-CN"/>
        </w:rPr>
      </w:pPr>
    </w:p>
    <w:p w14:paraId="765ED3D1">
      <w:pPr>
        <w:keepNext w:val="0"/>
        <w:keepLines w:val="0"/>
        <w:pageBreakBefore w:val="0"/>
        <w:widowControl w:val="0"/>
        <w:kinsoku/>
        <w:wordWrap/>
        <w:overflowPunct w:val="0"/>
        <w:topLinePunct/>
        <w:autoSpaceDE w:val="0"/>
        <w:autoSpaceDN w:val="0"/>
        <w:bidi w:val="0"/>
        <w:adjustRightInd w:val="0"/>
        <w:snapToGrid w:val="0"/>
        <w:spacing w:line="500" w:lineRule="exact"/>
        <w:ind w:right="0" w:firstLine="640" w:firstLineChars="200"/>
        <w:jc w:val="both"/>
        <w:textAlignment w:val="baseline"/>
        <w:rPr>
          <w:rFonts w:hint="eastAsia" w:ascii="仿宋" w:hAnsi="仿宋" w:eastAsia="仿宋" w:cs="仿宋"/>
          <w:sz w:val="32"/>
          <w:szCs w:val="32"/>
          <w:lang w:val="en-US" w:eastAsia="zh-CN"/>
        </w:rPr>
      </w:pPr>
    </w:p>
    <w:p w14:paraId="1A12A97F">
      <w:pPr>
        <w:keepNext w:val="0"/>
        <w:keepLines w:val="0"/>
        <w:pageBreakBefore w:val="0"/>
        <w:widowControl w:val="0"/>
        <w:kinsoku/>
        <w:wordWrap/>
        <w:overflowPunct w:val="0"/>
        <w:topLinePunct/>
        <w:autoSpaceDE w:val="0"/>
        <w:autoSpaceDN w:val="0"/>
        <w:bidi w:val="0"/>
        <w:adjustRightInd w:val="0"/>
        <w:snapToGrid w:val="0"/>
        <w:spacing w:line="500" w:lineRule="exact"/>
        <w:ind w:right="0" w:firstLine="640" w:firstLineChars="200"/>
        <w:jc w:val="both"/>
        <w:textAlignment w:val="baseline"/>
        <w:rPr>
          <w:rFonts w:hint="eastAsia" w:ascii="仿宋" w:hAnsi="仿宋" w:eastAsia="仿宋" w:cs="仿宋"/>
          <w:sz w:val="32"/>
          <w:szCs w:val="32"/>
        </w:rPr>
      </w:pPr>
    </w:p>
    <w:p w14:paraId="78538F74">
      <w:pPr>
        <w:keepNext w:val="0"/>
        <w:keepLines w:val="0"/>
        <w:pageBreakBefore w:val="0"/>
        <w:widowControl w:val="0"/>
        <w:tabs>
          <w:tab w:val="left" w:pos="5667"/>
        </w:tabs>
        <w:kinsoku/>
        <w:wordWrap/>
        <w:overflowPunct w:val="0"/>
        <w:topLinePunct/>
        <w:autoSpaceDE w:val="0"/>
        <w:autoSpaceDN w:val="0"/>
        <w:bidi w:val="0"/>
        <w:adjustRightInd w:val="0"/>
        <w:snapToGrid w:val="0"/>
        <w:spacing w:line="500" w:lineRule="exact"/>
        <w:ind w:right="0" w:firstLine="624" w:firstLineChars="200"/>
        <w:jc w:val="right"/>
        <w:textAlignment w:val="baseline"/>
        <w:rPr>
          <w:rFonts w:hint="eastAsia" w:ascii="仿宋" w:hAnsi="仿宋" w:eastAsia="仿宋" w:cs="仿宋"/>
          <w:spacing w:val="-4"/>
          <w:sz w:val="32"/>
          <w:szCs w:val="32"/>
        </w:rPr>
      </w:pPr>
    </w:p>
    <w:p w14:paraId="32922FAA">
      <w:pPr>
        <w:keepNext w:val="0"/>
        <w:keepLines w:val="0"/>
        <w:pageBreakBefore w:val="0"/>
        <w:widowControl w:val="0"/>
        <w:tabs>
          <w:tab w:val="left" w:pos="5667"/>
        </w:tabs>
        <w:kinsoku/>
        <w:wordWrap/>
        <w:overflowPunct w:val="0"/>
        <w:topLinePunct/>
        <w:autoSpaceDE w:val="0"/>
        <w:autoSpaceDN w:val="0"/>
        <w:bidi w:val="0"/>
        <w:adjustRightInd w:val="0"/>
        <w:snapToGrid w:val="0"/>
        <w:spacing w:line="500" w:lineRule="exact"/>
        <w:ind w:right="0" w:firstLine="624" w:firstLineChars="200"/>
        <w:jc w:val="right"/>
        <w:textAlignment w:val="baseline"/>
        <w:rPr>
          <w:rFonts w:hint="eastAsia" w:ascii="仿宋" w:hAnsi="仿宋" w:eastAsia="仿宋" w:cs="仿宋"/>
          <w:spacing w:val="-4"/>
          <w:sz w:val="32"/>
          <w:szCs w:val="32"/>
        </w:rPr>
      </w:pPr>
      <w:r>
        <w:rPr>
          <w:rFonts w:hint="eastAsia" w:ascii="仿宋" w:hAnsi="仿宋" w:eastAsia="仿宋" w:cs="仿宋"/>
          <w:spacing w:val="-4"/>
          <w:sz w:val="32"/>
          <w:szCs w:val="32"/>
        </w:rPr>
        <w:t>晋江市市场监督管理局</w:t>
      </w:r>
    </w:p>
    <w:p w14:paraId="51A97092">
      <w:pPr>
        <w:keepNext w:val="0"/>
        <w:keepLines w:val="0"/>
        <w:pageBreakBefore w:val="0"/>
        <w:widowControl w:val="0"/>
        <w:tabs>
          <w:tab w:val="left" w:pos="5667"/>
        </w:tabs>
        <w:kinsoku/>
        <w:wordWrap/>
        <w:overflowPunct w:val="0"/>
        <w:topLinePunct/>
        <w:autoSpaceDE w:val="0"/>
        <w:autoSpaceDN w:val="0"/>
        <w:bidi w:val="0"/>
        <w:adjustRightInd w:val="0"/>
        <w:snapToGrid w:val="0"/>
        <w:spacing w:line="500" w:lineRule="exact"/>
        <w:ind w:right="0" w:firstLine="624" w:firstLineChars="200"/>
        <w:jc w:val="center"/>
        <w:textAlignment w:val="baseline"/>
        <w:rPr>
          <w:rFonts w:hint="eastAsia" w:ascii="仿宋" w:hAnsi="仿宋" w:eastAsia="仿宋" w:cs="仿宋"/>
          <w:spacing w:val="-16"/>
          <w:sz w:val="32"/>
          <w:szCs w:val="32"/>
          <w:highlight w:val="none"/>
        </w:rPr>
      </w:pPr>
      <w:r>
        <w:rPr>
          <w:rFonts w:hint="eastAsia" w:ascii="仿宋" w:hAnsi="仿宋" w:eastAsia="仿宋" w:cs="仿宋"/>
          <w:spacing w:val="-4"/>
          <w:sz w:val="32"/>
          <w:szCs w:val="32"/>
          <w:lang w:val="en-US" w:eastAsia="zh-CN"/>
        </w:rPr>
        <w:t xml:space="preserve">                                    </w:t>
      </w:r>
      <w:r>
        <w:rPr>
          <w:rFonts w:hint="eastAsia" w:ascii="仿宋" w:hAnsi="仿宋" w:eastAsia="仿宋" w:cs="仿宋"/>
          <w:spacing w:val="-4"/>
          <w:sz w:val="32"/>
          <w:szCs w:val="32"/>
          <w:highlight w:val="none"/>
          <w:lang w:val="en-US" w:eastAsia="zh-CN"/>
        </w:rPr>
        <w:t xml:space="preserve">  </w:t>
      </w:r>
      <w:r>
        <w:rPr>
          <w:rFonts w:hint="eastAsia" w:ascii="仿宋" w:hAnsi="仿宋" w:eastAsia="仿宋" w:cs="仿宋"/>
          <w:spacing w:val="-4"/>
          <w:sz w:val="32"/>
          <w:szCs w:val="32"/>
          <w:highlight w:val="none"/>
        </w:rPr>
        <w:t>202</w:t>
      </w:r>
      <w:r>
        <w:rPr>
          <w:rFonts w:hint="eastAsia" w:ascii="仿宋" w:hAnsi="仿宋" w:eastAsia="仿宋" w:cs="仿宋"/>
          <w:spacing w:val="-4"/>
          <w:sz w:val="32"/>
          <w:szCs w:val="32"/>
          <w:highlight w:val="none"/>
          <w:lang w:val="en-US" w:eastAsia="zh-CN"/>
        </w:rPr>
        <w:t>6</w:t>
      </w:r>
      <w:r>
        <w:rPr>
          <w:rFonts w:hint="eastAsia" w:ascii="仿宋" w:hAnsi="仿宋" w:eastAsia="仿宋" w:cs="仿宋"/>
          <w:spacing w:val="-16"/>
          <w:sz w:val="32"/>
          <w:szCs w:val="32"/>
          <w:highlight w:val="none"/>
        </w:rPr>
        <w:t>年</w:t>
      </w:r>
      <w:r>
        <w:rPr>
          <w:rFonts w:hint="eastAsia" w:ascii="仿宋" w:hAnsi="仿宋" w:eastAsia="仿宋" w:cs="仿宋"/>
          <w:spacing w:val="10"/>
          <w:sz w:val="32"/>
          <w:szCs w:val="32"/>
          <w:highlight w:val="none"/>
          <w:lang w:val="en-US" w:eastAsia="zh-CN"/>
        </w:rPr>
        <w:t>8</w:t>
      </w:r>
      <w:r>
        <w:rPr>
          <w:rFonts w:hint="eastAsia" w:ascii="仿宋" w:hAnsi="仿宋" w:eastAsia="仿宋" w:cs="仿宋"/>
          <w:spacing w:val="-16"/>
          <w:sz w:val="32"/>
          <w:szCs w:val="32"/>
          <w:highlight w:val="none"/>
        </w:rPr>
        <w:t>月</w:t>
      </w:r>
      <w:r>
        <w:rPr>
          <w:rFonts w:hint="eastAsia" w:ascii="仿宋" w:hAnsi="仿宋" w:eastAsia="仿宋" w:cs="仿宋"/>
          <w:spacing w:val="24"/>
          <w:sz w:val="32"/>
          <w:szCs w:val="32"/>
          <w:highlight w:val="none"/>
          <w:lang w:val="en-US" w:eastAsia="zh-CN"/>
        </w:rPr>
        <w:t>21</w:t>
      </w:r>
      <w:r>
        <w:rPr>
          <w:rFonts w:hint="eastAsia" w:ascii="仿宋" w:hAnsi="仿宋" w:eastAsia="仿宋" w:cs="仿宋"/>
          <w:spacing w:val="-16"/>
          <w:sz w:val="32"/>
          <w:szCs w:val="32"/>
          <w:highlight w:val="none"/>
        </w:rPr>
        <w:t>日</w:t>
      </w:r>
    </w:p>
    <w:p w14:paraId="60040245">
      <w:pPr>
        <w:keepNext w:val="0"/>
        <w:keepLines w:val="0"/>
        <w:pageBreakBefore w:val="0"/>
        <w:widowControl w:val="0"/>
        <w:tabs>
          <w:tab w:val="left" w:pos="5667"/>
        </w:tabs>
        <w:kinsoku/>
        <w:wordWrap/>
        <w:overflowPunct w:val="0"/>
        <w:topLinePunct/>
        <w:autoSpaceDE w:val="0"/>
        <w:autoSpaceDN w:val="0"/>
        <w:bidi w:val="0"/>
        <w:adjustRightInd w:val="0"/>
        <w:snapToGrid w:val="0"/>
        <w:spacing w:line="460" w:lineRule="exact"/>
        <w:ind w:right="0" w:firstLine="576" w:firstLineChars="200"/>
        <w:jc w:val="center"/>
        <w:textAlignment w:val="baseline"/>
        <w:rPr>
          <w:rFonts w:hint="eastAsia" w:ascii="仿宋" w:hAnsi="仿宋" w:eastAsia="仿宋" w:cs="仿宋"/>
          <w:spacing w:val="-16"/>
          <w:sz w:val="32"/>
          <w:szCs w:val="32"/>
          <w:highlight w:val="none"/>
        </w:rPr>
      </w:pPr>
    </w:p>
    <w:p w14:paraId="7EE8C0D7">
      <w:pPr>
        <w:keepNext w:val="0"/>
        <w:keepLines w:val="0"/>
        <w:pageBreakBefore w:val="0"/>
        <w:widowControl w:val="0"/>
        <w:tabs>
          <w:tab w:val="left" w:pos="5667"/>
        </w:tabs>
        <w:kinsoku/>
        <w:wordWrap/>
        <w:overflowPunct w:val="0"/>
        <w:topLinePunct/>
        <w:autoSpaceDE w:val="0"/>
        <w:autoSpaceDN w:val="0"/>
        <w:bidi w:val="0"/>
        <w:adjustRightInd w:val="0"/>
        <w:snapToGrid w:val="0"/>
        <w:spacing w:line="460" w:lineRule="exact"/>
        <w:ind w:right="0" w:firstLine="576" w:firstLineChars="200"/>
        <w:jc w:val="center"/>
        <w:textAlignment w:val="baseline"/>
        <w:rPr>
          <w:rFonts w:hint="eastAsia" w:ascii="仿宋" w:hAnsi="仿宋" w:eastAsia="仿宋" w:cs="仿宋"/>
          <w:spacing w:val="-16"/>
          <w:sz w:val="32"/>
          <w:szCs w:val="32"/>
          <w:highlight w:val="none"/>
        </w:rPr>
      </w:pPr>
    </w:p>
    <w:p w14:paraId="0EE83D26">
      <w:pPr>
        <w:keepNext w:val="0"/>
        <w:keepLines w:val="0"/>
        <w:pageBreakBefore w:val="0"/>
        <w:widowControl w:val="0"/>
        <w:tabs>
          <w:tab w:val="left" w:pos="5667"/>
        </w:tabs>
        <w:kinsoku/>
        <w:wordWrap/>
        <w:overflowPunct w:val="0"/>
        <w:topLinePunct/>
        <w:autoSpaceDE w:val="0"/>
        <w:autoSpaceDN w:val="0"/>
        <w:bidi w:val="0"/>
        <w:adjustRightInd w:val="0"/>
        <w:snapToGrid w:val="0"/>
        <w:spacing w:line="460" w:lineRule="exact"/>
        <w:ind w:right="0" w:firstLine="576" w:firstLineChars="200"/>
        <w:jc w:val="center"/>
        <w:textAlignment w:val="baseline"/>
        <w:rPr>
          <w:rFonts w:hint="eastAsia" w:ascii="仿宋" w:hAnsi="仿宋" w:eastAsia="仿宋" w:cs="仿宋"/>
          <w:spacing w:val="-16"/>
          <w:sz w:val="32"/>
          <w:szCs w:val="32"/>
          <w:highlight w:val="none"/>
        </w:rPr>
      </w:pPr>
    </w:p>
    <w:p w14:paraId="6AC5C759">
      <w:pPr>
        <w:keepNext w:val="0"/>
        <w:keepLines w:val="0"/>
        <w:pageBreakBefore w:val="0"/>
        <w:widowControl w:val="0"/>
        <w:tabs>
          <w:tab w:val="left" w:pos="5667"/>
        </w:tabs>
        <w:kinsoku/>
        <w:wordWrap/>
        <w:overflowPunct w:val="0"/>
        <w:topLinePunct/>
        <w:autoSpaceDE w:val="0"/>
        <w:autoSpaceDN w:val="0"/>
        <w:bidi w:val="0"/>
        <w:adjustRightInd w:val="0"/>
        <w:snapToGrid w:val="0"/>
        <w:spacing w:line="460" w:lineRule="exact"/>
        <w:ind w:right="0" w:firstLine="576" w:firstLineChars="200"/>
        <w:jc w:val="center"/>
        <w:textAlignment w:val="baseline"/>
        <w:rPr>
          <w:rFonts w:hint="eastAsia" w:ascii="仿宋" w:hAnsi="仿宋" w:eastAsia="仿宋" w:cs="仿宋"/>
          <w:spacing w:val="-16"/>
          <w:sz w:val="32"/>
          <w:szCs w:val="32"/>
          <w:highlight w:val="none"/>
        </w:rPr>
      </w:pPr>
    </w:p>
    <w:p w14:paraId="6A444A5B">
      <w:pPr>
        <w:keepNext w:val="0"/>
        <w:keepLines w:val="0"/>
        <w:pageBreakBefore w:val="0"/>
        <w:widowControl w:val="0"/>
        <w:tabs>
          <w:tab w:val="left" w:pos="5667"/>
        </w:tabs>
        <w:kinsoku/>
        <w:wordWrap/>
        <w:overflowPunct w:val="0"/>
        <w:topLinePunct/>
        <w:autoSpaceDE w:val="0"/>
        <w:autoSpaceDN w:val="0"/>
        <w:bidi w:val="0"/>
        <w:adjustRightInd w:val="0"/>
        <w:snapToGrid w:val="0"/>
        <w:spacing w:line="460" w:lineRule="exact"/>
        <w:ind w:right="0" w:firstLine="576" w:firstLineChars="200"/>
        <w:jc w:val="center"/>
        <w:textAlignment w:val="baseline"/>
        <w:rPr>
          <w:rFonts w:hint="eastAsia" w:ascii="仿宋" w:hAnsi="仿宋" w:eastAsia="仿宋" w:cs="仿宋"/>
          <w:spacing w:val="-16"/>
          <w:sz w:val="32"/>
          <w:szCs w:val="32"/>
          <w:highlight w:val="none"/>
        </w:rPr>
      </w:pPr>
    </w:p>
    <w:p w14:paraId="6769B2CC">
      <w:pPr>
        <w:keepNext w:val="0"/>
        <w:keepLines w:val="0"/>
        <w:pageBreakBefore w:val="0"/>
        <w:widowControl w:val="0"/>
        <w:tabs>
          <w:tab w:val="left" w:pos="5667"/>
        </w:tabs>
        <w:kinsoku/>
        <w:wordWrap/>
        <w:overflowPunct w:val="0"/>
        <w:topLinePunct/>
        <w:autoSpaceDE w:val="0"/>
        <w:autoSpaceDN w:val="0"/>
        <w:bidi w:val="0"/>
        <w:adjustRightInd w:val="0"/>
        <w:snapToGrid w:val="0"/>
        <w:spacing w:line="460" w:lineRule="exact"/>
        <w:ind w:right="0" w:firstLine="576" w:firstLineChars="200"/>
        <w:jc w:val="center"/>
        <w:textAlignment w:val="baseline"/>
        <w:rPr>
          <w:rFonts w:hint="eastAsia" w:ascii="仿宋" w:hAnsi="仿宋" w:eastAsia="仿宋" w:cs="仿宋"/>
          <w:spacing w:val="-16"/>
          <w:sz w:val="32"/>
          <w:szCs w:val="32"/>
          <w:highlight w:val="none"/>
        </w:rPr>
      </w:pPr>
    </w:p>
    <w:p w14:paraId="78F4A281">
      <w:pPr>
        <w:keepNext w:val="0"/>
        <w:keepLines w:val="0"/>
        <w:pageBreakBefore w:val="0"/>
        <w:widowControl w:val="0"/>
        <w:tabs>
          <w:tab w:val="left" w:pos="5667"/>
        </w:tabs>
        <w:kinsoku/>
        <w:wordWrap/>
        <w:overflowPunct w:val="0"/>
        <w:topLinePunct/>
        <w:autoSpaceDE w:val="0"/>
        <w:autoSpaceDN w:val="0"/>
        <w:bidi w:val="0"/>
        <w:adjustRightInd w:val="0"/>
        <w:snapToGrid w:val="0"/>
        <w:spacing w:line="460" w:lineRule="exact"/>
        <w:ind w:right="0" w:firstLine="576" w:firstLineChars="200"/>
        <w:jc w:val="center"/>
        <w:textAlignment w:val="baseline"/>
        <w:rPr>
          <w:rFonts w:hint="eastAsia" w:ascii="仿宋" w:hAnsi="仿宋" w:eastAsia="仿宋" w:cs="仿宋"/>
          <w:spacing w:val="-16"/>
          <w:sz w:val="32"/>
          <w:szCs w:val="32"/>
          <w:highlight w:val="none"/>
        </w:rPr>
      </w:pPr>
    </w:p>
    <w:p w14:paraId="38AE254F">
      <w:pPr>
        <w:keepNext w:val="0"/>
        <w:keepLines w:val="0"/>
        <w:pageBreakBefore w:val="0"/>
        <w:widowControl w:val="0"/>
        <w:tabs>
          <w:tab w:val="left" w:pos="5667"/>
        </w:tabs>
        <w:kinsoku/>
        <w:wordWrap/>
        <w:overflowPunct w:val="0"/>
        <w:topLinePunct/>
        <w:autoSpaceDE w:val="0"/>
        <w:autoSpaceDN w:val="0"/>
        <w:bidi w:val="0"/>
        <w:adjustRightInd w:val="0"/>
        <w:snapToGrid w:val="0"/>
        <w:spacing w:line="460" w:lineRule="exact"/>
        <w:ind w:right="0" w:firstLine="576" w:firstLineChars="200"/>
        <w:jc w:val="center"/>
        <w:textAlignment w:val="baseline"/>
        <w:rPr>
          <w:rFonts w:hint="eastAsia" w:ascii="仿宋" w:hAnsi="仿宋" w:eastAsia="仿宋" w:cs="仿宋"/>
          <w:spacing w:val="-16"/>
          <w:sz w:val="32"/>
          <w:szCs w:val="32"/>
          <w:highlight w:val="none"/>
        </w:rPr>
      </w:pPr>
    </w:p>
    <w:p w14:paraId="559915EA">
      <w:pPr>
        <w:keepNext w:val="0"/>
        <w:keepLines w:val="0"/>
        <w:pageBreakBefore w:val="0"/>
        <w:widowControl w:val="0"/>
        <w:tabs>
          <w:tab w:val="left" w:pos="5667"/>
        </w:tabs>
        <w:kinsoku/>
        <w:wordWrap/>
        <w:overflowPunct w:val="0"/>
        <w:topLinePunct/>
        <w:autoSpaceDE w:val="0"/>
        <w:autoSpaceDN w:val="0"/>
        <w:bidi w:val="0"/>
        <w:adjustRightInd w:val="0"/>
        <w:snapToGrid w:val="0"/>
        <w:spacing w:line="460" w:lineRule="exact"/>
        <w:ind w:right="0" w:firstLine="576" w:firstLineChars="200"/>
        <w:jc w:val="center"/>
        <w:textAlignment w:val="baseline"/>
        <w:rPr>
          <w:rFonts w:hint="eastAsia" w:ascii="仿宋" w:hAnsi="仿宋" w:eastAsia="仿宋" w:cs="仿宋"/>
          <w:spacing w:val="-16"/>
          <w:sz w:val="32"/>
          <w:szCs w:val="32"/>
          <w:highlight w:val="none"/>
        </w:rPr>
      </w:pPr>
    </w:p>
    <w:p w14:paraId="3196192C">
      <w:pPr>
        <w:keepNext w:val="0"/>
        <w:keepLines w:val="0"/>
        <w:pageBreakBefore w:val="0"/>
        <w:widowControl w:val="0"/>
        <w:tabs>
          <w:tab w:val="left" w:pos="5667"/>
        </w:tabs>
        <w:kinsoku/>
        <w:wordWrap/>
        <w:overflowPunct w:val="0"/>
        <w:topLinePunct/>
        <w:autoSpaceDE w:val="0"/>
        <w:autoSpaceDN w:val="0"/>
        <w:bidi w:val="0"/>
        <w:adjustRightInd w:val="0"/>
        <w:snapToGrid w:val="0"/>
        <w:spacing w:line="460" w:lineRule="exact"/>
        <w:ind w:right="0" w:firstLine="576" w:firstLineChars="200"/>
        <w:jc w:val="center"/>
        <w:textAlignment w:val="baseline"/>
        <w:rPr>
          <w:rFonts w:hint="eastAsia" w:ascii="仿宋" w:hAnsi="仿宋" w:eastAsia="仿宋" w:cs="仿宋"/>
          <w:spacing w:val="-16"/>
          <w:sz w:val="32"/>
          <w:szCs w:val="32"/>
          <w:highlight w:val="yellow"/>
        </w:rPr>
      </w:pPr>
    </w:p>
    <w:p w14:paraId="54BDF638">
      <w:pPr>
        <w:spacing w:line="520" w:lineRule="exact"/>
        <w:ind w:firstLine="160" w:firstLineChars="50"/>
        <w:jc w:val="both"/>
        <w:rPr>
          <w:rFonts w:ascii="仿宋_GB2312" w:hAnsi="黑体" w:eastAsia="仿宋_GB2312" w:cs="Times New Roman"/>
          <w:sz w:val="32"/>
          <w:szCs w:val="32"/>
        </w:rPr>
      </w:pPr>
      <w:r>
        <w:rPr>
          <w:rFonts w:hint="eastAsia" w:ascii="仿宋_GB2312" w:hAnsi="黑体" w:eastAsia="仿宋_GB2312" w:cs="仿宋_GB2312"/>
          <w:sz w:val="32"/>
          <w:szCs w:val="32"/>
        </w:rPr>
        <w:t>（</w:t>
      </w:r>
      <w:r>
        <w:rPr>
          <w:rFonts w:hint="eastAsia" w:ascii="黑体" w:hAnsi="黑体" w:eastAsia="黑体" w:cs="黑体"/>
          <w:b/>
          <w:bCs/>
          <w:sz w:val="32"/>
          <w:szCs w:val="32"/>
        </w:rPr>
        <w:t>市场监督管理部门将依法向社会公示本行政处罚决定信息</w:t>
      </w:r>
      <w:r>
        <w:rPr>
          <w:rFonts w:hint="eastAsia" w:ascii="仿宋_GB2312" w:hAnsi="黑体" w:eastAsia="仿宋_GB2312" w:cs="仿宋_GB2312"/>
          <w:sz w:val="32"/>
          <w:szCs w:val="32"/>
        </w:rPr>
        <w:t>）</w:t>
      </w:r>
    </w:p>
    <w:p w14:paraId="5C2CBE2B">
      <w:pPr>
        <w:spacing w:line="26" w:lineRule="exact"/>
        <w:textAlignment w:val="center"/>
        <w:rPr>
          <w:sz w:val="32"/>
          <w:szCs w:val="32"/>
        </w:rPr>
      </w:pPr>
      <w:r>
        <w:rPr>
          <w:sz w:val="32"/>
          <w:szCs w:val="32"/>
        </w:rPr>
        <w:drawing>
          <wp:inline distT="0" distB="0" distL="0" distR="0">
            <wp:extent cx="5605145" cy="45085"/>
            <wp:effectExtent l="0" t="0" r="0" b="0"/>
            <wp:docPr id="241" name="IM 241"/>
            <wp:cNvGraphicFramePr/>
            <a:graphic xmlns:a="http://schemas.openxmlformats.org/drawingml/2006/main">
              <a:graphicData uri="http://schemas.openxmlformats.org/drawingml/2006/picture">
                <pic:pic xmlns:pic="http://schemas.openxmlformats.org/drawingml/2006/picture">
                  <pic:nvPicPr>
                    <pic:cNvPr id="241" name="IM 241"/>
                    <pic:cNvPicPr/>
                  </pic:nvPicPr>
                  <pic:blipFill>
                    <a:blip r:embed="rId6"/>
                    <a:stretch>
                      <a:fillRect/>
                    </a:stretch>
                  </pic:blipFill>
                  <pic:spPr>
                    <a:xfrm>
                      <a:off x="0" y="0"/>
                      <a:ext cx="9241634" cy="75380"/>
                    </a:xfrm>
                    <a:prstGeom prst="rect">
                      <a:avLst/>
                    </a:prstGeom>
                  </pic:spPr>
                </pic:pic>
              </a:graphicData>
            </a:graphic>
          </wp:inline>
        </w:drawing>
      </w:r>
    </w:p>
    <w:p w14:paraId="2CE57A6F">
      <w:pPr>
        <w:spacing w:before="106" w:line="183" w:lineRule="auto"/>
        <w:rPr>
          <w:rFonts w:ascii="Microsoft JhengHei"/>
          <w:sz w:val="32"/>
          <w:szCs w:val="32"/>
        </w:rPr>
      </w:pPr>
      <w:r>
        <w:rPr>
          <w:rFonts w:ascii="仿宋" w:hAnsi="仿宋" w:eastAsia="仿宋" w:cs="仿宋"/>
          <w:spacing w:val="-10"/>
          <w:sz w:val="32"/>
          <w:szCs w:val="32"/>
        </w:rPr>
        <w:t>本文书一式</w:t>
      </w:r>
      <w:r>
        <w:rPr>
          <w:rFonts w:hint="eastAsia" w:ascii="仿宋" w:hAnsi="仿宋" w:eastAsia="仿宋" w:cs="仿宋"/>
          <w:spacing w:val="6"/>
          <w:sz w:val="32"/>
          <w:szCs w:val="32"/>
          <w:u w:val="single"/>
          <w:lang w:eastAsia="zh-CN"/>
        </w:rPr>
        <w:t>两</w:t>
      </w:r>
      <w:r>
        <w:rPr>
          <w:rFonts w:ascii="仿宋" w:hAnsi="仿宋" w:eastAsia="仿宋" w:cs="仿宋"/>
          <w:spacing w:val="-10"/>
          <w:sz w:val="32"/>
          <w:szCs w:val="32"/>
        </w:rPr>
        <w:t>份，</w:t>
      </w:r>
      <w:r>
        <w:rPr>
          <w:rFonts w:hint="eastAsia" w:ascii="仿宋" w:hAnsi="仿宋" w:eastAsia="仿宋" w:cs="仿宋"/>
          <w:spacing w:val="20"/>
          <w:sz w:val="32"/>
          <w:szCs w:val="32"/>
          <w:u w:val="single"/>
        </w:rPr>
        <w:t>一</w:t>
      </w:r>
      <w:r>
        <w:rPr>
          <w:rFonts w:ascii="仿宋" w:hAnsi="仿宋" w:eastAsia="仿宋" w:cs="仿宋"/>
          <w:spacing w:val="-10"/>
          <w:sz w:val="32"/>
          <w:szCs w:val="32"/>
        </w:rPr>
        <w:t>份送达，</w:t>
      </w:r>
      <w:r>
        <w:rPr>
          <w:rFonts w:ascii="仿宋" w:hAnsi="仿宋" w:eastAsia="仿宋" w:cs="仿宋"/>
          <w:spacing w:val="-10"/>
          <w:sz w:val="32"/>
          <w:szCs w:val="32"/>
          <w:u w:val="single"/>
        </w:rPr>
        <w:t>一</w:t>
      </w:r>
      <w:r>
        <w:rPr>
          <w:rFonts w:ascii="仿宋" w:hAnsi="仿宋" w:eastAsia="仿宋" w:cs="仿宋"/>
          <w:spacing w:val="-10"/>
          <w:sz w:val="32"/>
          <w:szCs w:val="32"/>
        </w:rPr>
        <w:t>份归档。</w:t>
      </w:r>
    </w:p>
    <w:sectPr>
      <w:headerReference r:id="rId3" w:type="default"/>
      <w:footerReference r:id="rId4" w:type="default"/>
      <w:pgSz w:w="11906" w:h="16838"/>
      <w:pgMar w:top="1587" w:right="1304" w:bottom="1020" w:left="1304" w:header="851" w:footer="1474"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华文仿宋"/>
    <w:panose1 w:val="02010600030101010101"/>
    <w:charset w:val="86"/>
    <w:family w:val="auto"/>
    <w:pitch w:val="default"/>
    <w:sig w:usb0="00000000" w:usb1="00000000" w:usb2="00000016" w:usb3="00000000" w:csb0="0004000F" w:csb1="00000000"/>
  </w:font>
  <w:font w:name="华文仿宋">
    <w:panose1 w:val="02010600040101010101"/>
    <w:charset w:val="86"/>
    <w:family w:val="auto"/>
    <w:pitch w:val="default"/>
    <w:sig w:usb0="00000287" w:usb1="080F0000" w:usb2="00000000" w:usb3="00000000" w:csb0="0004009F" w:csb1="DFD70000"/>
  </w:font>
  <w:font w:name="等线">
    <w:altName w:val="Arial Unicode MS"/>
    <w:panose1 w:val="00000000000000000000"/>
    <w:charset w:val="86"/>
    <w:family w:val="auto"/>
    <w:pitch w:val="default"/>
    <w:sig w:usb0="00000000" w:usb1="00000000" w:usb2="00000000" w:usb3="00000000" w:csb0="00000000" w:csb1="00000000"/>
  </w:font>
  <w:font w:name="等线">
    <w:altName w:val="Arial Unicode MS"/>
    <w:panose1 w:val="00000000000000000000"/>
    <w:charset w:val="00"/>
    <w:family w:val="auto"/>
    <w:pitch w:val="default"/>
    <w:sig w:usb0="00000000" w:usb1="00000000" w:usb2="00000000" w:usb3="00000000" w:csb0="00000000"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Microsoft JhengHei">
    <w:panose1 w:val="020B0604030504040204"/>
    <w:charset w:val="88"/>
    <w:family w:val="swiss"/>
    <w:pitch w:val="default"/>
    <w:sig w:usb0="00000087" w:usb1="28AF4000" w:usb2="00000016" w:usb3="00000000" w:csb0="00100009" w:csb1="0000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D5C48D">
    <w:pPr>
      <w:pStyle w:val="2"/>
      <w:jc w:val="center"/>
      <w:rPr>
        <w:rFonts w:ascii="宋体" w:hAnsi="宋体" w:eastAsia="宋体"/>
        <w:sz w:val="28"/>
        <w:szCs w:val="28"/>
      </w:rPr>
    </w:pPr>
    <w:r>
      <w:rPr>
        <w:sz w:val="2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1"/>
                            <w:docPartObj>
                              <w:docPartGallery w:val="autotext"/>
                            </w:docPartObj>
                          </w:sdtPr>
                          <w:sdtEndPr>
                            <w:rPr>
                              <w:rFonts w:ascii="宋体" w:hAnsi="宋体" w:eastAsia="宋体"/>
                              <w:sz w:val="28"/>
                              <w:szCs w:val="28"/>
                            </w:rPr>
                          </w:sdtEndPr>
                          <w:sdtContent>
                            <w:p w14:paraId="40ED20C8">
                              <w:pPr>
                                <w:pStyle w:val="2"/>
                                <w:jc w:val="center"/>
                                <w:rPr>
                                  <w:rFonts w:ascii="宋体" w:hAnsi="宋体" w:eastAsia="宋体"/>
                                  <w:sz w:val="28"/>
                                  <w:szCs w:val="28"/>
                                </w:rPr>
                              </w:pPr>
                              <w:r>
                                <w:rPr>
                                  <w:rFonts w:hint="eastAsia" w:ascii="宋体" w:hAnsi="宋体" w:eastAsia="宋体"/>
                                  <w:sz w:val="28"/>
                                  <w:szCs w:val="28"/>
                                </w:rPr>
                                <w:t>－</w:t>
                              </w: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1</w:t>
                              </w:r>
                              <w:r>
                                <w:rPr>
                                  <w:rFonts w:ascii="宋体" w:hAnsi="宋体" w:eastAsia="宋体"/>
                                  <w:sz w:val="28"/>
                                  <w:szCs w:val="28"/>
                                </w:rPr>
                                <w:fldChar w:fldCharType="end"/>
                              </w:r>
                              <w:r>
                                <w:rPr>
                                  <w:rFonts w:hint="eastAsia" w:ascii="宋体" w:hAnsi="宋体" w:eastAsia="宋体"/>
                                  <w:sz w:val="28"/>
                                  <w:szCs w:val="28"/>
                                </w:rPr>
                                <w:t>－</w:t>
                              </w:r>
                            </w:p>
                          </w:sdtContent>
                        </w:sdt>
                        <w:p w14:paraId="674B3EB7">
                          <w:pPr>
                            <w:rPr>
                              <w:rFonts w:ascii="宋体" w:hAnsi="宋体" w:eastAsia="宋体"/>
                              <w:sz w:val="28"/>
                              <w:szCs w:val="28"/>
                            </w:rPr>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sdt>
                    <w:sdtPr>
                      <w:id w:val="-1"/>
                      <w:docPartObj>
                        <w:docPartGallery w:val="autotext"/>
                      </w:docPartObj>
                    </w:sdtPr>
                    <w:sdtEndPr>
                      <w:rPr>
                        <w:rFonts w:ascii="宋体" w:hAnsi="宋体" w:eastAsia="宋体"/>
                        <w:sz w:val="28"/>
                        <w:szCs w:val="28"/>
                      </w:rPr>
                    </w:sdtEndPr>
                    <w:sdtContent>
                      <w:p w14:paraId="40ED20C8">
                        <w:pPr>
                          <w:pStyle w:val="2"/>
                          <w:jc w:val="center"/>
                          <w:rPr>
                            <w:rFonts w:ascii="宋体" w:hAnsi="宋体" w:eastAsia="宋体"/>
                            <w:sz w:val="28"/>
                            <w:szCs w:val="28"/>
                          </w:rPr>
                        </w:pPr>
                        <w:r>
                          <w:rPr>
                            <w:rFonts w:hint="eastAsia" w:ascii="宋体" w:hAnsi="宋体" w:eastAsia="宋体"/>
                            <w:sz w:val="28"/>
                            <w:szCs w:val="28"/>
                          </w:rPr>
                          <w:t>－</w:t>
                        </w: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1</w:t>
                        </w:r>
                        <w:r>
                          <w:rPr>
                            <w:rFonts w:ascii="宋体" w:hAnsi="宋体" w:eastAsia="宋体"/>
                            <w:sz w:val="28"/>
                            <w:szCs w:val="28"/>
                          </w:rPr>
                          <w:fldChar w:fldCharType="end"/>
                        </w:r>
                        <w:r>
                          <w:rPr>
                            <w:rFonts w:hint="eastAsia" w:ascii="宋体" w:hAnsi="宋体" w:eastAsia="宋体"/>
                            <w:sz w:val="28"/>
                            <w:szCs w:val="28"/>
                          </w:rPr>
                          <w:t>－</w:t>
                        </w:r>
                      </w:p>
                    </w:sdtContent>
                  </w:sdt>
                  <w:p w14:paraId="674B3EB7">
                    <w:pPr>
                      <w:rPr>
                        <w:rFonts w:ascii="宋体" w:hAnsi="宋体" w:eastAsia="宋体"/>
                        <w:sz w:val="28"/>
                        <w:szCs w:val="28"/>
                      </w:rPr>
                    </w:pPr>
                  </w:p>
                </w:txbxContent>
              </v:textbox>
            </v:shape>
          </w:pict>
        </mc:Fallback>
      </mc:AlternateContent>
    </w:r>
  </w:p>
  <w:p w14:paraId="1C0945CB">
    <w:pPr>
      <w:spacing w:line="196" w:lineRule="exact"/>
      <w:ind w:firstLine="16"/>
      <w:rPr>
        <w:rFonts w:ascii="宋体" w:hAnsi="宋体" w:eastAsia="宋体" w:cs="宋体"/>
        <w:sz w:val="28"/>
        <w:szCs w:val="28"/>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B19E31">
    <w:pPr>
      <w:spacing w:line="14" w:lineRule="auto"/>
      <w:rPr>
        <w:rFonts w:ascii="Microsoft JhengHei"/>
        <w:sz w:val="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0B64"/>
    <w:rsid w:val="00011250"/>
    <w:rsid w:val="0006458B"/>
    <w:rsid w:val="001B09C8"/>
    <w:rsid w:val="00272CCB"/>
    <w:rsid w:val="003A066B"/>
    <w:rsid w:val="00411704"/>
    <w:rsid w:val="0042018D"/>
    <w:rsid w:val="00421F22"/>
    <w:rsid w:val="005F7EE0"/>
    <w:rsid w:val="00695479"/>
    <w:rsid w:val="006D3373"/>
    <w:rsid w:val="00765618"/>
    <w:rsid w:val="007D7DAD"/>
    <w:rsid w:val="00812C37"/>
    <w:rsid w:val="009113AF"/>
    <w:rsid w:val="009964E4"/>
    <w:rsid w:val="00A166EC"/>
    <w:rsid w:val="00AC1222"/>
    <w:rsid w:val="00AE72B4"/>
    <w:rsid w:val="00B34642"/>
    <w:rsid w:val="00B71E1E"/>
    <w:rsid w:val="00CC1344"/>
    <w:rsid w:val="00D50B64"/>
    <w:rsid w:val="00E450A1"/>
    <w:rsid w:val="00EA1240"/>
    <w:rsid w:val="00F745B0"/>
    <w:rsid w:val="00F967E2"/>
    <w:rsid w:val="01F66050"/>
    <w:rsid w:val="088D3121"/>
    <w:rsid w:val="0CB06EE6"/>
    <w:rsid w:val="10230B91"/>
    <w:rsid w:val="172F1636"/>
    <w:rsid w:val="18AC028C"/>
    <w:rsid w:val="193A32DB"/>
    <w:rsid w:val="1D916374"/>
    <w:rsid w:val="21A7378A"/>
    <w:rsid w:val="22E1350F"/>
    <w:rsid w:val="23454177"/>
    <w:rsid w:val="24157D1E"/>
    <w:rsid w:val="24664537"/>
    <w:rsid w:val="28FB06D1"/>
    <w:rsid w:val="2EF95D41"/>
    <w:rsid w:val="2F7E32B9"/>
    <w:rsid w:val="30AA3BA7"/>
    <w:rsid w:val="33F40EDF"/>
    <w:rsid w:val="34171B91"/>
    <w:rsid w:val="3E051409"/>
    <w:rsid w:val="3E0B273F"/>
    <w:rsid w:val="3E1A64EC"/>
    <w:rsid w:val="43DF7957"/>
    <w:rsid w:val="47362EE5"/>
    <w:rsid w:val="47D81055"/>
    <w:rsid w:val="4C7F6BAA"/>
    <w:rsid w:val="4D2C27D2"/>
    <w:rsid w:val="52CB2131"/>
    <w:rsid w:val="54AA4319"/>
    <w:rsid w:val="55D0407C"/>
    <w:rsid w:val="57FA3DA1"/>
    <w:rsid w:val="59DB630F"/>
    <w:rsid w:val="5ABC1BDC"/>
    <w:rsid w:val="62D561CB"/>
    <w:rsid w:val="77091498"/>
    <w:rsid w:val="7F6B5A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textAlignment w:val="baseline"/>
    </w:pPr>
    <w:rPr>
      <w:rFonts w:ascii="Arial" w:hAnsi="Arial" w:eastAsia="Arial" w:cs="Arial"/>
      <w:snapToGrid w:val="0"/>
      <w:color w:val="000000"/>
      <w:kern w:val="0"/>
      <w:sz w:val="21"/>
      <w:szCs w:val="21"/>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jc w:val="center"/>
    </w:pPr>
    <w:rPr>
      <w:sz w:val="18"/>
      <w:szCs w:val="18"/>
    </w:rPr>
  </w:style>
  <w:style w:type="table" w:customStyle="1" w:styleId="6">
    <w:name w:val="Table Normal"/>
    <w:unhideWhenUsed/>
    <w:qFormat/>
    <w:uiPriority w:val="0"/>
    <w:rPr>
      <w:rFonts w:ascii="Arial" w:hAnsi="Arial" w:cs="Arial"/>
      <w:kern w:val="0"/>
      <w:sz w:val="20"/>
      <w:szCs w:val="20"/>
    </w:rPr>
    <w:tblPr>
      <w:tblCellMar>
        <w:top w:w="0" w:type="dxa"/>
        <w:left w:w="0" w:type="dxa"/>
        <w:bottom w:w="0" w:type="dxa"/>
        <w:right w:w="0" w:type="dxa"/>
      </w:tblCellMar>
    </w:tblPr>
  </w:style>
  <w:style w:type="character" w:customStyle="1" w:styleId="7">
    <w:name w:val="页眉 字符"/>
    <w:basedOn w:val="5"/>
    <w:link w:val="3"/>
    <w:qFormat/>
    <w:uiPriority w:val="99"/>
    <w:rPr>
      <w:rFonts w:ascii="Arial" w:hAnsi="Arial" w:eastAsia="Arial" w:cs="Arial"/>
      <w:snapToGrid w:val="0"/>
      <w:color w:val="000000"/>
      <w:kern w:val="0"/>
      <w:sz w:val="18"/>
      <w:szCs w:val="18"/>
    </w:rPr>
  </w:style>
  <w:style w:type="character" w:customStyle="1" w:styleId="8">
    <w:name w:val="页脚 字符"/>
    <w:basedOn w:val="5"/>
    <w:link w:val="2"/>
    <w:qFormat/>
    <w:uiPriority w:val="99"/>
    <w:rPr>
      <w:rFonts w:ascii="Arial" w:hAnsi="Arial" w:eastAsia="Arial" w:cs="Arial"/>
      <w:snapToGrid w:val="0"/>
      <w:color w:val="000000"/>
      <w:kern w:val="0"/>
      <w:sz w:val="18"/>
      <w:szCs w:val="18"/>
    </w:rPr>
  </w:style>
  <w:style w:type="paragraph" w:styleId="9">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Pages>
  <Words>2139</Words>
  <Characters>2364</Characters>
  <Lines>13</Lines>
  <Paragraphs>3</Paragraphs>
  <TotalTime>117</TotalTime>
  <ScaleCrop>false</ScaleCrop>
  <LinksUpToDate>false</LinksUpToDate>
  <CharactersWithSpaces>2412</CharactersWithSpaces>
  <Application>WPS Office_12.1.0.28505_F1E327BC-269C-435d-A152-05C5408002CA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2021-11-29T16:30:00Z</dcterms:created>
  <dc:creator>李海晖</dc:creator>
  <cp:lastModifiedBy>天天8871</cp:lastModifiedBy>
  <cp:lastPrinted>2026-08-24T16:21:00Z</cp:lastPrinted>
  <dcterms:modified xsi:type="dcterms:W3CDTF">2026-09-07T03:50:02Z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2052-12.1.0.28505</vt:lpwstr>
  </property>
  <property fmtid="{D5CDD505-2E9C-101B-9397-08002B2CF9AE}" pid="3" name="ICV">
    <vt:lpwstr>1B69AC5EE4874CB690542F648C2CCDCC</vt:lpwstr>
  </property>
  <property fmtid="{D5CDD505-2E9C-101B-9397-08002B2CF9AE}" pid="4" name="KSOTemplateDocerSaveRecord">
    <vt:lpwstr>eyJoZGlkIjoiOTQ4NzBkNmM4Yzk5NTU5YTIwNTkxZTRlZDYxMzgyNTAiLCJ1c2VySWQiOiI3MjUzNTA0OTgifQ==</vt:lpwstr>
  </property>
</Properties>
</file>