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49934C">
      <w:pPr>
        <w:pStyle w:val="2"/>
        <w:rPr>
          <w:rFonts w:hint="eastAsia" w:ascii="方正小标宋简体" w:hAnsi="方正小标宋简体" w:eastAsia="方正小标宋简体" w:cs="方正小标宋简体"/>
          <w:spacing w:val="0"/>
          <w:w w:val="100"/>
          <w:lang w:val="en-US" w:eastAsia="zh-CN"/>
        </w:rPr>
      </w:pPr>
      <w:r>
        <w:rPr>
          <w:rFonts w:hint="eastAsia" w:ascii="方正小标宋简体" w:hAnsi="方正小标宋简体" w:eastAsia="方正小标宋简体" w:cs="方正小标宋简体"/>
          <w:spacing w:val="0"/>
          <w:w w:val="100"/>
        </w:rPr>
        <w:t>晋江市市场监督管理局</w:t>
      </w:r>
    </w:p>
    <w:p w14:paraId="78F26FD5">
      <w:pPr>
        <w:pStyle w:val="2"/>
        <w:rPr>
          <w:rFonts w:hint="eastAsia" w:ascii="方正小标宋简体" w:hAnsi="方正小标宋简体" w:eastAsia="方正小标宋简体" w:cs="方正小标宋简体"/>
          <w:spacing w:val="0"/>
          <w:w w:val="100"/>
        </w:rPr>
      </w:pPr>
      <w:r>
        <w:rPr>
          <w:rFonts w:hint="eastAsia" w:ascii="方正小标宋简体" w:hAnsi="方正小标宋简体" w:eastAsia="方正小标宋简体" w:cs="方正小标宋简体"/>
          <w:spacing w:val="0"/>
          <w:w w:val="100"/>
        </w:rPr>
        <w:t>行政处罚决定书</w:t>
      </w:r>
    </w:p>
    <w:p w14:paraId="5039E77A">
      <w:pPr>
        <w:jc w:val="center"/>
        <w:rPr>
          <w:rFonts w:hint="eastAsia" w:ascii="仿宋_GB2312" w:hAnsi="仿宋" w:eastAsia="仿宋_GB2312" w:cs="仿宋_GB2312"/>
          <w:sz w:val="32"/>
          <w:szCs w:val="32"/>
        </w:rPr>
      </w:pPr>
      <w:r>
        <w:rPr>
          <w:rFonts w:hint="eastAsia" w:ascii="仿宋_GB2312" w:hAnsi="仿宋" w:eastAsia="仿宋_GB2312" w:cs="仿宋_GB2312"/>
          <w:sz w:val="32"/>
          <w:szCs w:val="32"/>
        </w:rPr>
        <w:t>晋</w:t>
      </w:r>
      <w:r>
        <w:rPr>
          <w:rFonts w:ascii="仿宋_GB2312" w:hAnsi="仿宋" w:eastAsia="仿宋_GB2312" w:cs="仿宋_GB2312"/>
          <w:sz w:val="32"/>
          <w:szCs w:val="32"/>
        </w:rPr>
        <w:t>市监</w:t>
      </w:r>
      <w:r>
        <w:rPr>
          <w:rFonts w:hint="eastAsia" w:ascii="仿宋_GB2312" w:hAnsi="仿宋" w:eastAsia="仿宋_GB2312" w:cs="仿宋_GB2312"/>
          <w:sz w:val="32"/>
          <w:szCs w:val="32"/>
          <w:lang w:eastAsia="zh-CN"/>
        </w:rPr>
        <w:t>处罚</w:t>
      </w:r>
      <w:r>
        <w:rPr>
          <w:rFonts w:ascii="仿宋_GB2312" w:hAnsi="仿宋" w:eastAsia="仿宋_GB2312" w:cs="仿宋_GB2312"/>
          <w:sz w:val="32"/>
          <w:szCs w:val="32"/>
        </w:rPr>
        <w:t>〔</w:t>
      </w:r>
      <w:r>
        <w:rPr>
          <w:rFonts w:hint="eastAsia" w:ascii="仿宋_GB2312" w:hAnsi="仿宋" w:eastAsia="仿宋_GB2312" w:cs="仿宋_GB2312"/>
          <w:sz w:val="32"/>
          <w:szCs w:val="32"/>
        </w:rPr>
        <w:t>202</w:t>
      </w:r>
      <w:r>
        <w:rPr>
          <w:rFonts w:hint="eastAsia" w:ascii="仿宋_GB2312" w:hAnsi="仿宋" w:eastAsia="仿宋_GB2312" w:cs="仿宋_GB2312"/>
          <w:sz w:val="32"/>
          <w:szCs w:val="32"/>
          <w:lang w:val="en-US" w:eastAsia="zh-CN"/>
        </w:rPr>
        <w:t>6</w:t>
      </w:r>
      <w:r>
        <w:rPr>
          <w:rFonts w:ascii="仿宋_GB2312" w:hAnsi="仿宋" w:eastAsia="仿宋_GB2312" w:cs="仿宋_GB2312"/>
          <w:sz w:val="32"/>
          <w:szCs w:val="32"/>
        </w:rPr>
        <w:t>〕</w:t>
      </w:r>
      <w:r>
        <w:rPr>
          <w:rFonts w:hint="eastAsia" w:ascii="仿宋_GB2312" w:hAnsi="仿宋" w:eastAsia="仿宋_GB2312" w:cs="仿宋_GB2312"/>
          <w:sz w:val="32"/>
          <w:szCs w:val="32"/>
        </w:rPr>
        <w:t>21-</w:t>
      </w:r>
      <w:r>
        <w:rPr>
          <w:rFonts w:hint="eastAsia" w:ascii="仿宋_GB2312" w:hAnsi="仿宋" w:eastAsia="仿宋_GB2312" w:cs="仿宋_GB2312"/>
          <w:sz w:val="32"/>
          <w:szCs w:val="32"/>
          <w:lang w:val="en-US" w:eastAsia="zh-CN"/>
        </w:rPr>
        <w:t>19</w:t>
      </w:r>
      <w:r>
        <w:rPr>
          <w:rFonts w:ascii="仿宋_GB2312" w:hAnsi="仿宋" w:eastAsia="仿宋_GB2312" w:cs="仿宋_GB2312"/>
          <w:sz w:val="32"/>
          <w:szCs w:val="32"/>
        </w:rPr>
        <w:t>号</w:t>
      </w:r>
    </w:p>
    <w:p w14:paraId="1E1AFA0B">
      <w:pPr>
        <w:keepNext w:val="0"/>
        <w:keepLines w:val="0"/>
        <w:pageBreakBefore w:val="0"/>
        <w:widowControl w:val="0"/>
        <w:kinsoku/>
        <w:wordWrap/>
        <w:overflowPunct/>
        <w:topLinePunct w:val="0"/>
        <w:autoSpaceDE/>
        <w:autoSpaceDN/>
        <w:bidi w:val="0"/>
        <w:adjustRightInd/>
        <w:snapToGrid/>
        <w:spacing w:before="157" w:beforeLines="50" w:line="4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当事人：</w:t>
      </w:r>
      <w:r>
        <w:rPr>
          <w:rFonts w:hint="eastAsia" w:ascii="仿宋_GB2312" w:hAnsi="仿宋_GB2312" w:eastAsia="仿宋_GB2312" w:cs="仿宋_GB2312"/>
          <w:sz w:val="32"/>
          <w:szCs w:val="32"/>
          <w:lang w:eastAsia="zh-CN"/>
        </w:rPr>
        <w:t>晋江市安海镇卫生院</w:t>
      </w:r>
    </w:p>
    <w:p w14:paraId="48C40398">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sz w:val="32"/>
          <w:szCs w:val="32"/>
          <w:lang w:eastAsia="zh-CN"/>
        </w:rPr>
        <w:t>主体资格证照名称：</w:t>
      </w:r>
      <w:r>
        <w:rPr>
          <w:rFonts w:hint="eastAsia" w:ascii="仿宋_GB2312" w:hAnsi="仿宋_GB2312" w:eastAsia="仿宋_GB2312" w:cs="仿宋_GB2312"/>
          <w:color w:val="000000"/>
          <w:sz w:val="32"/>
          <w:szCs w:val="32"/>
          <w:lang w:eastAsia="zh-CN"/>
        </w:rPr>
        <w:t>事业单位法人证书</w:t>
      </w:r>
    </w:p>
    <w:p w14:paraId="4BC72C37">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统一社会信用代码：</w:t>
      </w:r>
      <w:r>
        <w:rPr>
          <w:rFonts w:hint="eastAsia" w:ascii="仿宋_GB2312" w:hAnsi="仿宋_GB2312" w:eastAsia="仿宋_GB2312" w:cs="仿宋_GB2312"/>
          <w:sz w:val="32"/>
          <w:szCs w:val="32"/>
          <w:lang w:val="en-US" w:eastAsia="zh-CN"/>
        </w:rPr>
        <w:t>123505824893574859</w:t>
      </w:r>
    </w:p>
    <w:p w14:paraId="3428FF84">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住所：</w:t>
      </w:r>
      <w:r>
        <w:rPr>
          <w:rFonts w:hint="eastAsia" w:ascii="仿宋_GB2312" w:hAnsi="仿宋_GB2312" w:eastAsia="仿宋_GB2312" w:cs="仿宋_GB2312"/>
          <w:sz w:val="32"/>
          <w:szCs w:val="32"/>
          <w:lang w:val="en-US" w:eastAsia="zh-CN"/>
        </w:rPr>
        <w:t>晋江市安海镇成功西路</w:t>
      </w:r>
      <w:r>
        <w:rPr>
          <w:rFonts w:hint="eastAsia" w:ascii="华文中宋" w:hAnsi="华文中宋" w:eastAsia="华文中宋" w:cs="华文中宋"/>
          <w:sz w:val="32"/>
          <w:szCs w:val="32"/>
          <w:lang w:val="en-US" w:eastAsia="zh-CN"/>
        </w:rPr>
        <w:t>******</w:t>
      </w:r>
      <w:bookmarkStart w:id="1" w:name="_GoBack"/>
      <w:bookmarkEnd w:id="1"/>
    </w:p>
    <w:p w14:paraId="79769F43">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法定代表人：</w:t>
      </w:r>
      <w:bookmarkStart w:id="0" w:name="cluecon"/>
      <w:r>
        <w:rPr>
          <w:rFonts w:hint="eastAsia" w:ascii="仿宋_GB2312" w:hAnsi="仿宋_GB2312" w:eastAsia="仿宋_GB2312" w:cs="仿宋_GB2312"/>
          <w:sz w:val="32"/>
          <w:szCs w:val="32"/>
          <w:lang w:val="en-US" w:eastAsia="zh-CN"/>
        </w:rPr>
        <w:t>许津梁（许宏吉）</w:t>
      </w:r>
    </w:p>
    <w:p w14:paraId="5214AF94">
      <w:pPr>
        <w:keepNext w:val="0"/>
        <w:keepLines w:val="0"/>
        <w:pageBreakBefore w:val="0"/>
        <w:widowControl w:val="0"/>
        <w:kinsoku/>
        <w:wordWrap/>
        <w:overflowPunct/>
        <w:topLinePunct w:val="0"/>
        <w:autoSpaceDE/>
        <w:autoSpaceDN/>
        <w:bidi w:val="0"/>
        <w:snapToGrid/>
        <w:spacing w:line="48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2026年4月30日，</w:t>
      </w:r>
      <w:bookmarkEnd w:id="0"/>
      <w:r>
        <w:rPr>
          <w:rFonts w:hint="eastAsia" w:ascii="仿宋_GB2312" w:hAnsi="仿宋_GB2312" w:eastAsia="仿宋_GB2312" w:cs="仿宋_GB2312"/>
          <w:color w:val="000000"/>
          <w:sz w:val="32"/>
          <w:szCs w:val="32"/>
          <w:lang w:eastAsia="zh-CN"/>
        </w:rPr>
        <w:t>我局执法人员对当事人的经营场所进行检查。</w:t>
      </w:r>
      <w:r>
        <w:rPr>
          <w:rFonts w:hint="eastAsia" w:ascii="仿宋_GB2312" w:hAnsi="仿宋_GB2312" w:eastAsia="仿宋_GB2312" w:cs="仿宋_GB2312"/>
          <w:color w:val="000000"/>
          <w:sz w:val="32"/>
          <w:szCs w:val="32"/>
          <w:lang w:val="en-US" w:eastAsia="zh-CN"/>
        </w:rPr>
        <w:t>现场该院处于经营状态，药房负责人陪同检查，当事人持有</w:t>
      </w:r>
      <w:r>
        <w:rPr>
          <w:rFonts w:hint="eastAsia" w:ascii="仿宋_GB2312" w:hAnsi="仿宋_GB2312" w:eastAsia="仿宋_GB2312" w:cs="仿宋_GB2312"/>
          <w:color w:val="000000"/>
          <w:sz w:val="32"/>
          <w:szCs w:val="32"/>
          <w:lang w:eastAsia="zh-CN"/>
        </w:rPr>
        <w:t>事业单位法人证书及医疗机构执业许可证。执法人员于当事人二楼药房发现</w:t>
      </w:r>
      <w:r>
        <w:rPr>
          <w:rFonts w:hint="eastAsia" w:ascii="仿宋_GB2312" w:hAnsi="仿宋_GB2312" w:eastAsia="仿宋_GB2312" w:cs="仿宋_GB2312"/>
          <w:color w:val="000000"/>
          <w:sz w:val="32"/>
          <w:szCs w:val="32"/>
          <w:lang w:val="en-US" w:eastAsia="zh-CN"/>
        </w:rPr>
        <w:t>中药饮片专用药柜</w:t>
      </w:r>
      <w:r>
        <w:rPr>
          <w:rFonts w:hint="eastAsia" w:ascii="仿宋_GB2312" w:hAnsi="仿宋_GB2312" w:eastAsia="仿宋_GB2312" w:cs="仿宋_GB2312"/>
          <w:color w:val="000000"/>
          <w:sz w:val="32"/>
          <w:szCs w:val="32"/>
          <w:lang w:eastAsia="zh-CN"/>
        </w:rPr>
        <w:t>标示“川贝母”</w:t>
      </w:r>
      <w:r>
        <w:rPr>
          <w:rFonts w:hint="eastAsia" w:ascii="仿宋_GB2312" w:hAnsi="仿宋_GB2312" w:eastAsia="仿宋_GB2312" w:cs="仿宋_GB2312"/>
          <w:color w:val="000000"/>
          <w:sz w:val="32"/>
          <w:szCs w:val="32"/>
          <w:lang w:val="en-US" w:eastAsia="zh-CN"/>
        </w:rPr>
        <w:t>“浙贝母”的柜斗</w:t>
      </w:r>
      <w:r>
        <w:rPr>
          <w:rFonts w:hint="eastAsia" w:ascii="仿宋_GB2312" w:hAnsi="仿宋_GB2312" w:eastAsia="仿宋_GB2312" w:cs="仿宋_GB2312"/>
          <w:color w:val="000000"/>
          <w:sz w:val="32"/>
          <w:szCs w:val="32"/>
          <w:lang w:eastAsia="zh-CN"/>
        </w:rPr>
        <w:t>内分格存放平贝母和浙贝母，其中浙贝母有保留原包装，</w:t>
      </w:r>
      <w:r>
        <w:rPr>
          <w:rFonts w:hint="eastAsia" w:ascii="仿宋_GB2312" w:hAnsi="仿宋_GB2312" w:eastAsia="仿宋_GB2312" w:cs="仿宋_GB2312"/>
          <w:color w:val="000000"/>
          <w:sz w:val="32"/>
          <w:szCs w:val="32"/>
          <w:lang w:val="en-US" w:eastAsia="zh-CN"/>
        </w:rPr>
        <w:t>平贝母斗内没有</w:t>
      </w:r>
      <w:r>
        <w:rPr>
          <w:rFonts w:hint="eastAsia" w:ascii="仿宋_GB2312" w:hAnsi="仿宋_GB2312" w:eastAsia="仿宋_GB2312" w:cs="仿宋_GB2312"/>
          <w:color w:val="000000"/>
          <w:sz w:val="32"/>
          <w:szCs w:val="32"/>
          <w:lang w:eastAsia="zh-CN"/>
        </w:rPr>
        <w:t>留存相对应的标签。当事人上述行为涉嫌违反《福建省药品和医疗器械流通监督管理办法》第十六条和《福建省医疗机构药品和医疗器械使用质量规范化管理指导意见(试行)》第五十三条、第七十一条的规定，经报领导审批后予以立案调查。</w:t>
      </w:r>
    </w:p>
    <w:p w14:paraId="74601B96">
      <w:pPr>
        <w:keepNext w:val="0"/>
        <w:keepLines w:val="0"/>
        <w:pageBreakBefore w:val="0"/>
        <w:widowControl w:val="0"/>
        <w:kinsoku/>
        <w:wordWrap/>
        <w:overflowPunct/>
        <w:topLinePunct w:val="0"/>
        <w:autoSpaceDE/>
        <w:autoSpaceDN/>
        <w:bidi w:val="0"/>
        <w:snapToGrid/>
        <w:spacing w:line="480" w:lineRule="exact"/>
        <w:ind w:firstLine="640" w:firstLineChars="200"/>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eastAsia="zh-CN"/>
        </w:rPr>
        <w:t>经查实，当事人持有事业单位法人证书及医疗机构执业许可证，主要经营内科、外科、妇产科、儿科、中医科、皮肤科、口腔科、全科医疗科、眼科、耳鼻咽喉科、预防保健科、急诊医学科、医学检验科、医学影像科等项目。执法人员于当事人二楼药房发现</w:t>
      </w:r>
      <w:r>
        <w:rPr>
          <w:rFonts w:hint="eastAsia" w:ascii="仿宋_GB2312" w:hAnsi="仿宋_GB2312" w:eastAsia="仿宋_GB2312" w:cs="仿宋_GB2312"/>
          <w:color w:val="000000"/>
          <w:sz w:val="32"/>
          <w:szCs w:val="32"/>
          <w:lang w:val="en-US" w:eastAsia="zh-CN"/>
        </w:rPr>
        <w:t>中药饮片药柜</w:t>
      </w:r>
      <w:r>
        <w:rPr>
          <w:rFonts w:hint="eastAsia" w:ascii="仿宋_GB2312" w:hAnsi="仿宋_GB2312" w:eastAsia="仿宋_GB2312" w:cs="仿宋_GB2312"/>
          <w:color w:val="000000"/>
          <w:sz w:val="32"/>
          <w:szCs w:val="32"/>
          <w:lang w:eastAsia="zh-CN"/>
        </w:rPr>
        <w:t>标示“川贝母”</w:t>
      </w:r>
      <w:r>
        <w:rPr>
          <w:rFonts w:hint="eastAsia" w:ascii="仿宋_GB2312" w:hAnsi="仿宋_GB2312" w:eastAsia="仿宋_GB2312" w:cs="仿宋_GB2312"/>
          <w:color w:val="000000"/>
          <w:sz w:val="32"/>
          <w:szCs w:val="32"/>
          <w:lang w:val="en-US" w:eastAsia="zh-CN"/>
        </w:rPr>
        <w:t>“浙贝母”的斗</w:t>
      </w:r>
      <w:r>
        <w:rPr>
          <w:rFonts w:hint="eastAsia" w:ascii="仿宋_GB2312" w:hAnsi="仿宋_GB2312" w:eastAsia="仿宋_GB2312" w:cs="仿宋_GB2312"/>
          <w:color w:val="000000"/>
          <w:sz w:val="32"/>
          <w:szCs w:val="32"/>
          <w:lang w:eastAsia="zh-CN"/>
        </w:rPr>
        <w:t>内分格存放平贝母和浙贝母，其中浙贝母有保留原包装，</w:t>
      </w:r>
      <w:r>
        <w:rPr>
          <w:rFonts w:hint="eastAsia" w:ascii="仿宋_GB2312" w:hAnsi="仿宋_GB2312" w:eastAsia="仿宋_GB2312" w:cs="仿宋_GB2312"/>
          <w:color w:val="000000"/>
          <w:sz w:val="32"/>
          <w:szCs w:val="32"/>
          <w:lang w:val="en-US" w:eastAsia="zh-CN"/>
        </w:rPr>
        <w:t>平贝母斗内没有</w:t>
      </w:r>
      <w:r>
        <w:rPr>
          <w:rFonts w:hint="eastAsia" w:ascii="仿宋_GB2312" w:hAnsi="仿宋_GB2312" w:eastAsia="仿宋_GB2312" w:cs="仿宋_GB2312"/>
          <w:color w:val="000000"/>
          <w:sz w:val="32"/>
          <w:szCs w:val="32"/>
          <w:lang w:eastAsia="zh-CN"/>
        </w:rPr>
        <w:t>留存相对应的标签，经称重重量为</w:t>
      </w:r>
      <w:r>
        <w:rPr>
          <w:rFonts w:hint="eastAsia" w:ascii="仿宋_GB2312" w:hAnsi="仿宋_GB2312" w:eastAsia="仿宋_GB2312" w:cs="仿宋_GB2312"/>
          <w:color w:val="000000"/>
          <w:sz w:val="32"/>
          <w:szCs w:val="32"/>
          <w:lang w:val="en-US" w:eastAsia="zh-CN"/>
        </w:rPr>
        <w:t>100克。当事人现场从中药斗柜下方柜内找出一包尚未拆封的平贝母（规格：500克/包，生产批号：210915）。执法人员当场查询</w:t>
      </w:r>
      <w:r>
        <w:rPr>
          <w:rFonts w:hint="eastAsia" w:ascii="仿宋_GB2312" w:hAnsi="仿宋_GB2312" w:eastAsia="仿宋_GB2312" w:cs="仿宋_GB2312"/>
          <w:color w:val="000000"/>
          <w:sz w:val="32"/>
          <w:szCs w:val="32"/>
          <w:lang w:eastAsia="zh-CN"/>
        </w:rPr>
        <w:t>当事人计算机药品管理系统，其于</w:t>
      </w:r>
      <w:r>
        <w:rPr>
          <w:rFonts w:hint="eastAsia" w:ascii="仿宋_GB2312" w:hAnsi="仿宋_GB2312" w:eastAsia="仿宋_GB2312" w:cs="仿宋_GB2312"/>
          <w:color w:val="000000"/>
          <w:sz w:val="32"/>
          <w:szCs w:val="32"/>
          <w:lang w:val="en-US" w:eastAsia="zh-CN"/>
        </w:rPr>
        <w:t>2022年2月19日验收入库平贝母1000克（规格：500克/包，批号：210915），库存600克。当事人表示斗柜内裸装平贝母与未拆封的平贝母同属上述2022年2月19日验收入库的1000克，因工作人员操作不当，取用其中一袋时拆封后将其倒入斗柜内，直接丢弃外包装袋，未留存相应标签。综上，当事人中药饮片专用斗柜未标明正名正字，斗内未留存实际装斗中药饮片对应的标签，不符合</w:t>
      </w:r>
      <w:r>
        <w:rPr>
          <w:rFonts w:hint="eastAsia" w:ascii="仿宋_GB2312" w:hAnsi="仿宋_GB2312" w:eastAsia="仿宋_GB2312" w:cs="仿宋_GB2312"/>
          <w:color w:val="000000"/>
          <w:sz w:val="32"/>
          <w:szCs w:val="32"/>
          <w:lang w:eastAsia="zh-CN"/>
        </w:rPr>
        <w:t>《福建省医疗机构药品和医疗器械使用质量规范化管理指导意见(试行)》规定的条件。</w:t>
      </w:r>
    </w:p>
    <w:p w14:paraId="7F448E0B">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以上事实，</w:t>
      </w:r>
      <w:r>
        <w:rPr>
          <w:rFonts w:hint="eastAsia" w:ascii="仿宋_GB2312" w:hAnsi="仿宋_GB2312" w:eastAsia="仿宋_GB2312" w:cs="仿宋_GB2312"/>
          <w:sz w:val="32"/>
          <w:szCs w:val="32"/>
          <w:lang w:eastAsia="zh-CN"/>
        </w:rPr>
        <w:t>主要有</w:t>
      </w:r>
      <w:r>
        <w:rPr>
          <w:rFonts w:hint="eastAsia" w:ascii="仿宋_GB2312" w:hAnsi="仿宋_GB2312" w:eastAsia="仿宋_GB2312" w:cs="仿宋_GB2312"/>
          <w:sz w:val="32"/>
          <w:szCs w:val="32"/>
        </w:rPr>
        <w:t>现场笔录</w:t>
      </w:r>
      <w:r>
        <w:rPr>
          <w:rFonts w:hint="eastAsia" w:ascii="仿宋_GB2312" w:hAnsi="仿宋_GB2312" w:eastAsia="仿宋_GB2312" w:cs="仿宋_GB2312"/>
          <w:sz w:val="32"/>
          <w:szCs w:val="32"/>
          <w:lang w:eastAsia="zh-CN"/>
        </w:rPr>
        <w:t>、现场照片；事业单位法人证书、医疗机构执业许可证，授权委托书、</w:t>
      </w:r>
      <w:r>
        <w:rPr>
          <w:rFonts w:hint="eastAsia" w:ascii="仿宋_GB2312" w:hAnsi="仿宋_GB2312" w:eastAsia="仿宋_GB2312" w:cs="仿宋_GB2312"/>
          <w:sz w:val="32"/>
          <w:szCs w:val="32"/>
        </w:rPr>
        <w:t>法人</w:t>
      </w:r>
      <w:r>
        <w:rPr>
          <w:rFonts w:hint="eastAsia" w:ascii="仿宋_GB2312" w:hAnsi="仿宋_GB2312" w:eastAsia="仿宋_GB2312" w:cs="仿宋_GB2312"/>
          <w:sz w:val="32"/>
          <w:szCs w:val="32"/>
          <w:lang w:eastAsia="zh-CN"/>
        </w:rPr>
        <w:t>代表和受委托人</w:t>
      </w:r>
      <w:r>
        <w:rPr>
          <w:rFonts w:hint="eastAsia" w:ascii="仿宋_GB2312" w:hAnsi="仿宋_GB2312" w:eastAsia="仿宋_GB2312" w:cs="仿宋_GB2312"/>
          <w:sz w:val="32"/>
          <w:szCs w:val="32"/>
        </w:rPr>
        <w:t>身份证</w:t>
      </w:r>
      <w:r>
        <w:rPr>
          <w:rFonts w:hint="eastAsia" w:ascii="仿宋_GB2312" w:hAnsi="仿宋_GB2312" w:eastAsia="仿宋_GB2312" w:cs="仿宋_GB2312"/>
          <w:sz w:val="32"/>
          <w:szCs w:val="32"/>
          <w:lang w:eastAsia="zh-CN"/>
        </w:rPr>
        <w:t>复印件；</w:t>
      </w:r>
      <w:r>
        <w:rPr>
          <w:rFonts w:hint="eastAsia" w:ascii="仿宋_GB2312" w:hAnsi="仿宋_GB2312" w:eastAsia="仿宋_GB2312" w:cs="仿宋_GB2312"/>
          <w:sz w:val="32"/>
          <w:szCs w:val="32"/>
        </w:rPr>
        <w:t>询问笔录</w:t>
      </w:r>
      <w:r>
        <w:rPr>
          <w:rFonts w:hint="eastAsia" w:ascii="仿宋_GB2312" w:hAnsi="仿宋_GB2312" w:eastAsia="仿宋_GB2312" w:cs="仿宋_GB2312"/>
          <w:sz w:val="32"/>
          <w:szCs w:val="32"/>
          <w:lang w:eastAsia="zh-CN"/>
        </w:rPr>
        <w:t>；涉案药品供货商资质证明材料、</w:t>
      </w:r>
      <w:r>
        <w:rPr>
          <w:rFonts w:hint="eastAsia" w:ascii="仿宋_GB2312" w:hAnsi="仿宋_GB2312" w:eastAsia="仿宋_GB2312" w:cs="仿宋_GB2312"/>
          <w:color w:val="000000"/>
          <w:sz w:val="32"/>
          <w:szCs w:val="32"/>
          <w:lang w:val="en-US" w:eastAsia="zh-CN"/>
        </w:rPr>
        <w:t>销售单、税票及检验报告单</w:t>
      </w:r>
      <w:r>
        <w:rPr>
          <w:rFonts w:hint="eastAsia" w:ascii="仿宋_GB2312" w:hAnsi="仿宋_GB2312" w:eastAsia="仿宋_GB2312" w:cs="仿宋_GB2312"/>
          <w:sz w:val="32"/>
          <w:szCs w:val="32"/>
        </w:rPr>
        <w:t>等</w:t>
      </w:r>
      <w:r>
        <w:rPr>
          <w:rFonts w:hint="eastAsia" w:ascii="仿宋_GB2312" w:hAnsi="仿宋_GB2312" w:eastAsia="仿宋_GB2312" w:cs="仿宋_GB2312"/>
          <w:sz w:val="32"/>
          <w:szCs w:val="32"/>
          <w:lang w:eastAsia="zh-CN"/>
        </w:rPr>
        <w:t>证据证明</w:t>
      </w:r>
      <w:r>
        <w:rPr>
          <w:rFonts w:hint="eastAsia" w:ascii="仿宋_GB2312" w:hAnsi="仿宋_GB2312" w:eastAsia="仿宋_GB2312" w:cs="仿宋_GB2312"/>
          <w:sz w:val="32"/>
          <w:szCs w:val="32"/>
        </w:rPr>
        <w:t xml:space="preserve">。  </w:t>
      </w:r>
    </w:p>
    <w:p w14:paraId="763B477D">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2026年5月26日，本局向当事人直接送达《行政处罚告知书》（晋市监罚告〔2026〕21-17号），当事人未在法定期限内提出陈述或申辩。  </w:t>
      </w:r>
    </w:p>
    <w:p w14:paraId="70F48734">
      <w:pPr>
        <w:keepNext w:val="0"/>
        <w:keepLines w:val="0"/>
        <w:pageBreakBefore w:val="0"/>
        <w:widowControl w:val="0"/>
        <w:kinsoku/>
        <w:wordWrap/>
        <w:overflowPunct/>
        <w:topLinePunct w:val="0"/>
        <w:autoSpaceDE/>
        <w:autoSpaceDN/>
        <w:bidi w:val="0"/>
        <w:adjustRightInd w:val="0"/>
        <w:snapToGrid/>
        <w:spacing w:line="480" w:lineRule="exact"/>
        <w:ind w:firstLine="614" w:firstLineChars="192"/>
        <w:textAlignment w:val="baseline"/>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当事人</w:t>
      </w:r>
      <w:r>
        <w:rPr>
          <w:rFonts w:hint="eastAsia" w:ascii="仿宋_GB2312" w:hAnsi="仿宋_GB2312" w:eastAsia="仿宋_GB2312" w:cs="仿宋_GB2312"/>
          <w:sz w:val="32"/>
          <w:szCs w:val="32"/>
          <w:lang w:eastAsia="zh-CN"/>
        </w:rPr>
        <w:t>设置的药柜不符合规定条件</w:t>
      </w:r>
      <w:r>
        <w:rPr>
          <w:rFonts w:hint="eastAsia" w:ascii="仿宋_GB2312" w:hAnsi="仿宋_GB2312" w:eastAsia="仿宋_GB2312" w:cs="仿宋_GB2312"/>
          <w:sz w:val="32"/>
          <w:szCs w:val="32"/>
        </w:rPr>
        <w:t>的行为违反了</w:t>
      </w:r>
      <w:r>
        <w:rPr>
          <w:rFonts w:hint="eastAsia" w:ascii="仿宋_GB2312" w:hAnsi="仿宋_GB2312" w:eastAsia="仿宋_GB2312" w:cs="仿宋_GB2312"/>
          <w:color w:val="000000"/>
          <w:sz w:val="32"/>
          <w:szCs w:val="32"/>
          <w:lang w:eastAsia="zh-CN"/>
        </w:rPr>
        <w:t>《福建省药品和医疗器械流通监督管理办法》第十六条和《福建省医疗机构药品和医疗器械使用质量规范化管理指导意见(试行)》第五十三条、第七十</w:t>
      </w:r>
      <w:r>
        <w:rPr>
          <w:rFonts w:hint="eastAsia" w:ascii="仿宋_GB2312" w:hAnsi="仿宋_GB2312" w:eastAsia="仿宋_GB2312" w:cs="仿宋_GB2312"/>
          <w:sz w:val="32"/>
          <w:szCs w:val="32"/>
          <w:lang w:eastAsia="zh-CN"/>
        </w:rPr>
        <w:t>一条的规定，属于《福建省药品和医疗器械流通监督管理办法》第四十条（一）项规定的违法行为。</w:t>
      </w:r>
    </w:p>
    <w:p w14:paraId="16149691">
      <w:pPr>
        <w:keepNext w:val="0"/>
        <w:keepLines w:val="0"/>
        <w:pageBreakBefore w:val="0"/>
        <w:widowControl w:val="0"/>
        <w:kinsoku/>
        <w:wordWrap/>
        <w:overflowPunct/>
        <w:topLinePunct w:val="0"/>
        <w:autoSpaceDE/>
        <w:autoSpaceDN/>
        <w:bidi w:val="0"/>
        <w:adjustRightInd w:val="0"/>
        <w:snapToGrid/>
        <w:spacing w:line="480" w:lineRule="exact"/>
        <w:ind w:firstLine="614" w:firstLineChars="192"/>
        <w:textAlignment w:val="baseline"/>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鉴于当事人积极配合药品监督管理部门调查并主动提供证据材料，属于《福建省药品监管行政处罚裁量适用细则》第十一条第（二）项可以从轻或者减轻行政处罚的情形，参照《福建省药品监管行政处罚裁量适用细则》第二十六条第二项的规定予以从轻行政处罚。</w:t>
      </w:r>
    </w:p>
    <w:p w14:paraId="714F495C">
      <w:pPr>
        <w:keepNext w:val="0"/>
        <w:keepLines w:val="0"/>
        <w:pageBreakBefore w:val="0"/>
        <w:widowControl w:val="0"/>
        <w:kinsoku/>
        <w:wordWrap/>
        <w:overflowPunct/>
        <w:topLinePunct w:val="0"/>
        <w:autoSpaceDE/>
        <w:autoSpaceDN/>
        <w:bidi w:val="0"/>
        <w:snapToGrid/>
        <w:spacing w:line="480" w:lineRule="exact"/>
        <w:ind w:right="-90" w:rightChars="-43"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w:t>
      </w:r>
      <w:r>
        <w:rPr>
          <w:rFonts w:hint="eastAsia" w:ascii="仿宋_GB2312" w:hAnsi="仿宋_GB2312" w:eastAsia="仿宋_GB2312" w:cs="仿宋_GB2312"/>
          <w:sz w:val="32"/>
          <w:szCs w:val="32"/>
          <w:lang w:eastAsia="zh-CN"/>
        </w:rPr>
        <w:t>福建省药品和医疗器械流通监督管理办法</w:t>
      </w:r>
      <w:r>
        <w:rPr>
          <w:rFonts w:hint="eastAsia" w:ascii="仿宋_GB2312" w:hAnsi="仿宋_GB2312" w:eastAsia="仿宋_GB2312" w:cs="仿宋_GB2312"/>
          <w:sz w:val="32"/>
          <w:szCs w:val="32"/>
        </w:rPr>
        <w:t>》第</w:t>
      </w:r>
      <w:r>
        <w:rPr>
          <w:rFonts w:hint="eastAsia" w:ascii="仿宋_GB2312" w:hAnsi="仿宋_GB2312" w:eastAsia="仿宋_GB2312" w:cs="仿宋_GB2312"/>
          <w:sz w:val="32"/>
          <w:szCs w:val="32"/>
          <w:lang w:eastAsia="zh-CN"/>
        </w:rPr>
        <w:t>四十</w:t>
      </w:r>
      <w:r>
        <w:rPr>
          <w:rFonts w:hint="eastAsia" w:ascii="仿宋_GB2312" w:hAnsi="仿宋_GB2312" w:eastAsia="仿宋_GB2312" w:cs="仿宋_GB2312"/>
          <w:sz w:val="32"/>
          <w:szCs w:val="32"/>
        </w:rPr>
        <w:t>条</w:t>
      </w:r>
      <w:r>
        <w:rPr>
          <w:rFonts w:hint="eastAsia" w:ascii="仿宋_GB2312" w:hAnsi="仿宋_GB2312" w:eastAsia="仿宋_GB2312" w:cs="仿宋_GB2312"/>
          <w:sz w:val="32"/>
          <w:szCs w:val="32"/>
          <w:lang w:eastAsia="zh-CN"/>
        </w:rPr>
        <w:t>之</w:t>
      </w:r>
      <w:r>
        <w:rPr>
          <w:rFonts w:hint="eastAsia" w:ascii="仿宋_GB2312" w:hAnsi="仿宋_GB2312" w:eastAsia="仿宋_GB2312" w:cs="仿宋_GB2312"/>
          <w:sz w:val="32"/>
          <w:szCs w:val="32"/>
        </w:rPr>
        <w:t>规定</w:t>
      </w:r>
      <w:r>
        <w:rPr>
          <w:rFonts w:hint="eastAsia" w:ascii="仿宋_GB2312" w:hAnsi="仿宋_GB2312" w:eastAsia="仿宋_GB2312" w:cs="仿宋_GB2312"/>
          <w:sz w:val="32"/>
          <w:szCs w:val="32"/>
          <w:lang w:eastAsia="zh-CN"/>
        </w:rPr>
        <w:t>决定</w:t>
      </w:r>
      <w:r>
        <w:rPr>
          <w:rFonts w:hint="eastAsia" w:ascii="仿宋_GB2312" w:hAnsi="仿宋_GB2312" w:eastAsia="仿宋_GB2312" w:cs="仿宋_GB2312"/>
          <w:sz w:val="32"/>
          <w:szCs w:val="32"/>
        </w:rPr>
        <w:t>对当事人</w:t>
      </w:r>
      <w:r>
        <w:rPr>
          <w:rFonts w:hint="eastAsia" w:ascii="仿宋_GB2312" w:hAnsi="仿宋_GB2312" w:eastAsia="仿宋_GB2312" w:cs="仿宋_GB2312"/>
          <w:sz w:val="32"/>
          <w:szCs w:val="32"/>
          <w:lang w:eastAsia="zh-CN"/>
        </w:rPr>
        <w:t>处理</w:t>
      </w:r>
      <w:r>
        <w:rPr>
          <w:rFonts w:hint="eastAsia" w:ascii="仿宋_GB2312" w:hAnsi="仿宋_GB2312" w:eastAsia="仿宋_GB2312" w:cs="仿宋_GB2312"/>
          <w:sz w:val="32"/>
          <w:szCs w:val="32"/>
        </w:rPr>
        <w:t>如下：</w:t>
      </w:r>
    </w:p>
    <w:p w14:paraId="5D2A2A8C">
      <w:pPr>
        <w:keepNext w:val="0"/>
        <w:keepLines w:val="0"/>
        <w:pageBreakBefore w:val="0"/>
        <w:widowControl w:val="0"/>
        <w:numPr>
          <w:ilvl w:val="0"/>
          <w:numId w:val="1"/>
        </w:numPr>
        <w:kinsoku/>
        <w:wordWrap/>
        <w:overflowPunct/>
        <w:topLinePunct w:val="0"/>
        <w:autoSpaceDE/>
        <w:autoSpaceDN/>
        <w:bidi w:val="0"/>
        <w:snapToGrid/>
        <w:spacing w:line="480" w:lineRule="exact"/>
        <w:ind w:right="-90" w:rightChars="-43"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责令改正</w:t>
      </w:r>
      <w:r>
        <w:rPr>
          <w:rFonts w:hint="eastAsia" w:ascii="仿宋_GB2312" w:hAnsi="仿宋_GB2312" w:eastAsia="仿宋_GB2312" w:cs="仿宋_GB2312"/>
          <w:kern w:val="2"/>
          <w:sz w:val="32"/>
          <w:szCs w:val="32"/>
        </w:rPr>
        <w:t>上述违法行为</w:t>
      </w:r>
      <w:r>
        <w:rPr>
          <w:rFonts w:hint="eastAsia" w:ascii="仿宋_GB2312" w:hAnsi="仿宋_GB2312" w:eastAsia="仿宋_GB2312" w:cs="仿宋_GB2312"/>
          <w:sz w:val="32"/>
          <w:szCs w:val="32"/>
          <w:lang w:val="en-US" w:eastAsia="zh-CN"/>
        </w:rPr>
        <w:t>；</w:t>
      </w:r>
    </w:p>
    <w:p w14:paraId="3D90D8F7">
      <w:pPr>
        <w:keepNext w:val="0"/>
        <w:keepLines w:val="0"/>
        <w:pageBreakBefore w:val="0"/>
        <w:widowControl w:val="0"/>
        <w:numPr>
          <w:ilvl w:val="0"/>
          <w:numId w:val="1"/>
        </w:numPr>
        <w:kinsoku/>
        <w:wordWrap/>
        <w:overflowPunct/>
        <w:topLinePunct w:val="0"/>
        <w:autoSpaceDE/>
        <w:autoSpaceDN/>
        <w:bidi w:val="0"/>
        <w:snapToGrid/>
        <w:spacing w:line="480" w:lineRule="exact"/>
        <w:ind w:right="-90" w:rightChars="-43"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警告；</w:t>
      </w:r>
    </w:p>
    <w:p w14:paraId="16D90099">
      <w:pPr>
        <w:keepNext w:val="0"/>
        <w:keepLines w:val="0"/>
        <w:pageBreakBefore w:val="0"/>
        <w:widowControl w:val="0"/>
        <w:numPr>
          <w:ilvl w:val="0"/>
          <w:numId w:val="1"/>
        </w:numPr>
        <w:kinsoku/>
        <w:wordWrap/>
        <w:overflowPunct/>
        <w:topLinePunct w:val="0"/>
        <w:autoSpaceDE/>
        <w:autoSpaceDN/>
        <w:bidi w:val="0"/>
        <w:snapToGrid/>
        <w:spacing w:line="480" w:lineRule="exact"/>
        <w:ind w:right="-90" w:rightChars="-43"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罚款人民币叁仟元（3000元）。</w:t>
      </w:r>
    </w:p>
    <w:p w14:paraId="3FE2ECDF">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以上罚款共计人民币</w:t>
      </w:r>
      <w:r>
        <w:rPr>
          <w:rFonts w:hint="eastAsia" w:ascii="仿宋_GB2312" w:hAnsi="仿宋_GB2312" w:eastAsia="仿宋_GB2312" w:cs="仿宋_GB2312"/>
          <w:sz w:val="32"/>
          <w:szCs w:val="32"/>
          <w:lang w:val="en-US" w:eastAsia="zh-CN"/>
        </w:rPr>
        <w:t>叁仟元3000</w:t>
      </w:r>
      <w:r>
        <w:rPr>
          <w:rFonts w:hint="eastAsia" w:ascii="仿宋_GB2312" w:hAnsi="仿宋_GB2312" w:eastAsia="仿宋_GB2312" w:cs="仿宋_GB2312"/>
          <w:sz w:val="32"/>
          <w:szCs w:val="32"/>
        </w:rPr>
        <w:t>元。当事人应当在接到本行政处罚决定书之日起十五日内，凭福建省政府非税收入缴款通知书（缴款码）通过银行网点或者电子支付系统缴款。当事人逾期不履行行政处罚决定的，本局将依据《中华人民共和国行政处罚法》第七十二条第一款的规定，采取下列措施：（一）到期不缴纳罚款的，每日按罚款数额的百分之三加处罚款，加处罚款的数额不得超出罚款的数额；（二）根据法律规定，将查封、扣押的财物拍卖、依法处理或者将冻结的存款、汇款划拨抵缴罚款；（三）根据法律规定，采取其他行政强制执行方式; （四）依照《中华人民共和国行政强制法》的规定申请晋江市人民法院强制执行。</w:t>
      </w:r>
    </w:p>
    <w:p w14:paraId="78EA5566">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当事人</w:t>
      </w:r>
      <w:r>
        <w:rPr>
          <w:rFonts w:hint="eastAsia" w:ascii="仿宋_GB2312" w:hAnsi="仿宋_GB2312" w:eastAsia="仿宋_GB2312" w:cs="仿宋_GB2312"/>
          <w:sz w:val="32"/>
          <w:szCs w:val="32"/>
        </w:rPr>
        <w:t>如不服本行政处罚决定，可以在接到本行政处罚决定书之日起六十日内向晋江市人民政府申请复议，也可以在六个月内依法向</w:t>
      </w:r>
      <w:r>
        <w:rPr>
          <w:rFonts w:hint="eastAsia" w:ascii="仿宋_GB2312" w:hAnsi="仿宋_GB2312" w:eastAsia="仿宋_GB2312" w:cs="仿宋_GB2312"/>
          <w:sz w:val="32"/>
          <w:szCs w:val="32"/>
          <w:lang w:eastAsia="zh-CN"/>
        </w:rPr>
        <w:t>洛江区</w:t>
      </w:r>
      <w:r>
        <w:rPr>
          <w:rFonts w:hint="eastAsia" w:ascii="仿宋_GB2312" w:hAnsi="仿宋_GB2312" w:eastAsia="仿宋_GB2312" w:cs="仿宋_GB2312"/>
          <w:sz w:val="32"/>
          <w:szCs w:val="32"/>
        </w:rPr>
        <w:t>人民法院提起行政诉讼。申请行政复议或者提起行政诉讼期间，行政处罚不停止执行，法律、法规、规章另有规定的，从其规定。</w:t>
      </w:r>
      <w:r>
        <w:rPr>
          <w:rFonts w:hint="eastAsia" w:ascii="仿宋_GB2312" w:hAnsi="仿宋_GB2312" w:eastAsia="仿宋_GB2312" w:cs="仿宋_GB2312"/>
          <w:sz w:val="32"/>
          <w:szCs w:val="32"/>
          <w:lang w:eastAsia="zh-CN"/>
        </w:rPr>
        <w:t>当事人在法定期限内不申请行政复议或者提起行政诉讼，又不履行本行政处罚决定的，本局将依法申请人民法院强制执行。</w:t>
      </w:r>
    </w:p>
    <w:p w14:paraId="200FD30F">
      <w:pPr>
        <w:pStyle w:val="6"/>
        <w:keepNext w:val="0"/>
        <w:keepLines w:val="0"/>
        <w:pageBreakBefore w:val="0"/>
        <w:widowControl w:val="0"/>
        <w:tabs>
          <w:tab w:val="left" w:pos="0"/>
        </w:tabs>
        <w:kinsoku/>
        <w:wordWrap/>
        <w:overflowPunct/>
        <w:topLinePunct w:val="0"/>
        <w:autoSpaceDE/>
        <w:autoSpaceDN/>
        <w:bidi w:val="0"/>
        <w:adjustRightInd/>
        <w:snapToGrid/>
        <w:spacing w:line="480" w:lineRule="exact"/>
        <w:ind w:left="0" w:leftChars="0" w:firstLine="0" w:firstLineChars="0"/>
        <w:textAlignment w:val="auto"/>
        <w:rPr>
          <w:rFonts w:hint="eastAsia" w:ascii="仿宋_GB2312" w:hAnsi="仿宋_GB2312" w:eastAsia="仿宋_GB2312" w:cs="仿宋_GB2312"/>
          <w:sz w:val="32"/>
          <w:szCs w:val="32"/>
        </w:rPr>
      </w:pPr>
    </w:p>
    <w:p w14:paraId="674038A8">
      <w:pPr>
        <w:pStyle w:val="6"/>
        <w:keepNext w:val="0"/>
        <w:keepLines w:val="0"/>
        <w:pageBreakBefore w:val="0"/>
        <w:widowControl w:val="0"/>
        <w:tabs>
          <w:tab w:val="left" w:pos="0"/>
        </w:tabs>
        <w:kinsoku/>
        <w:wordWrap/>
        <w:overflowPunct/>
        <w:topLinePunct w:val="0"/>
        <w:autoSpaceDE/>
        <w:autoSpaceDN/>
        <w:bidi w:val="0"/>
        <w:adjustRightInd/>
        <w:snapToGrid/>
        <w:spacing w:line="480" w:lineRule="exact"/>
        <w:jc w:val="righ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晋江市市场监督管理局</w:t>
      </w:r>
    </w:p>
    <w:p w14:paraId="0447ED89">
      <w:pPr>
        <w:pStyle w:val="6"/>
        <w:keepNext w:val="0"/>
        <w:keepLines w:val="0"/>
        <w:pageBreakBefore w:val="0"/>
        <w:widowControl w:val="0"/>
        <w:tabs>
          <w:tab w:val="left" w:pos="0"/>
        </w:tabs>
        <w:kinsoku/>
        <w:wordWrap/>
        <w:overflowPunct/>
        <w:topLinePunct w:val="0"/>
        <w:autoSpaceDE/>
        <w:autoSpaceDN/>
        <w:bidi w:val="0"/>
        <w:adjustRightInd/>
        <w:snapToGrid/>
        <w:spacing w:line="480" w:lineRule="exact"/>
        <w:jc w:val="righ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lang w:eastAsia="zh-CN"/>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lang w:eastAsia="zh-CN"/>
        </w:rPr>
        <w:t>月</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日</w:t>
      </w:r>
    </w:p>
    <w:p w14:paraId="4885253E">
      <w:pPr>
        <w:pStyle w:val="6"/>
        <w:keepNext w:val="0"/>
        <w:keepLines w:val="0"/>
        <w:pageBreakBefore w:val="0"/>
        <w:widowControl w:val="0"/>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_GB2312" w:hAnsi="仿宋_GB2312" w:eastAsia="仿宋_GB2312" w:cs="仿宋_GB2312"/>
          <w:sz w:val="32"/>
          <w:szCs w:val="32"/>
          <w:lang w:eastAsia="zh-CN"/>
        </w:rPr>
      </w:pPr>
    </w:p>
    <w:p w14:paraId="283B66FC">
      <w:pPr>
        <w:wordWrap w:val="0"/>
        <w:snapToGrid w:val="0"/>
        <w:spacing w:line="520" w:lineRule="exact"/>
        <w:rPr>
          <w:rFonts w:ascii="仿宋_GB2312" w:hAnsi="黑体" w:eastAsia="仿宋_GB2312" w:cs="Times New Roman"/>
          <w:color w:val="000000"/>
          <w:sz w:val="32"/>
          <w:szCs w:val="32"/>
        </w:rPr>
      </w:pPr>
      <w:r>
        <w:rPr>
          <w:rFonts w:hint="eastAsia" w:ascii="仿宋_GB2312" w:hAnsi="黑体" w:eastAsia="仿宋_GB2312" w:cs="仿宋_GB2312"/>
          <w:color w:val="000000"/>
          <w:sz w:val="32"/>
          <w:szCs w:val="32"/>
        </w:rPr>
        <w:t>（</w:t>
      </w:r>
      <w:r>
        <w:rPr>
          <w:rFonts w:hint="eastAsia" w:ascii="黑体" w:hAnsi="黑体" w:eastAsia="黑体" w:cs="黑体"/>
          <w:b/>
          <w:bCs/>
          <w:color w:val="000000"/>
          <w:sz w:val="32"/>
          <w:szCs w:val="32"/>
        </w:rPr>
        <w:t>市场监督管理部门将依法向社会公示本行政处罚决定信息</w:t>
      </w:r>
      <w:r>
        <w:rPr>
          <w:rFonts w:hint="eastAsia" w:ascii="仿宋_GB2312" w:hAnsi="黑体" w:eastAsia="仿宋_GB2312" w:cs="仿宋_GB2312"/>
          <w:color w:val="000000"/>
          <w:sz w:val="32"/>
          <w:szCs w:val="32"/>
        </w:rPr>
        <w:t>）</w:t>
      </w:r>
    </w:p>
    <w:p w14:paraId="16AE9F31">
      <w:pPr>
        <w:wordWrap w:val="0"/>
        <w:spacing w:line="520" w:lineRule="exact"/>
        <w:rPr>
          <w:rFonts w:ascii="仿宋_GB2312" w:hAnsi="仿宋" w:eastAsia="仿宋_GB2312" w:cs="Times New Roman"/>
          <w:color w:val="000000"/>
          <w:sz w:val="32"/>
          <w:szCs w:val="32"/>
        </w:rPr>
      </w:pPr>
      <w:r>
        <mc:AlternateContent>
          <mc:Choice Requires="wps">
            <w:drawing>
              <wp:anchor distT="0" distB="0" distL="114300" distR="114300" simplePos="0" relativeHeight="251660288" behindDoc="0" locked="0" layoutInCell="1" allowOverlap="1">
                <wp:simplePos x="0" y="0"/>
                <wp:positionH relativeFrom="column">
                  <wp:posOffset>-115570</wp:posOffset>
                </wp:positionH>
                <wp:positionV relativeFrom="paragraph">
                  <wp:posOffset>0</wp:posOffset>
                </wp:positionV>
                <wp:extent cx="5615940" cy="0"/>
                <wp:effectExtent l="0" t="0" r="0" b="0"/>
                <wp:wrapNone/>
                <wp:docPr id="3" name="直线 4"/>
                <wp:cNvGraphicFramePr/>
                <a:graphic xmlns:a="http://schemas.openxmlformats.org/drawingml/2006/main">
                  <a:graphicData uri="http://schemas.microsoft.com/office/word/2010/wordprocessingShape">
                    <wps:wsp>
                      <wps:cNvCnPr/>
                      <wps:spPr>
                        <a:xfrm flipV="1">
                          <a:off x="0" y="0"/>
                          <a:ext cx="5615940" cy="0"/>
                        </a:xfrm>
                        <a:prstGeom prst="line">
                          <a:avLst/>
                        </a:prstGeom>
                        <a:ln w="15875" cap="flat" cmpd="sng">
                          <a:solidFill>
                            <a:srgbClr val="000000"/>
                          </a:solidFill>
                          <a:prstDash val="solid"/>
                          <a:headEnd type="none" w="med" len="med"/>
                          <a:tailEnd type="none" w="med" len="med"/>
                        </a:ln>
                      </wps:spPr>
                      <wps:bodyPr/>
                    </wps:wsp>
                  </a:graphicData>
                </a:graphic>
              </wp:anchor>
            </w:drawing>
          </mc:Choice>
          <mc:Fallback>
            <w:pict>
              <v:line id="直线 4" o:spid="_x0000_s1026" o:spt="20" style="position:absolute;left:0pt;flip:y;margin-left:-9.1pt;margin-top:0pt;height:0pt;width:442.2pt;z-index:251660288;mso-width-relative:page;mso-height-relative:page;" filled="f" stroked="t" coordsize="21600,21600" o:gfxdata="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IRAZSbSAAAABQEA&#10;AA8AAAAAAAAAAQAgAAAAIgAAAGRycy9kb3ducmV2LnhtbFBLAQIUABQAAAAIAIdO4kBA5ApL5wEA&#10;ANoDAAAOAAAAAAAAAAEAIAAAACEBAABkcnMvZTJvRG9jLnhtbFBLBQYAAAAABgAGAFkBAAB6BQAA&#10;AAA=&#10;">
                <v:fill on="f" focussize="0,0"/>
                <v:stroke weight="1.25pt" color="#000000"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2" name="直线 3"/>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wps:spPr>
                      <wps:bodyPr/>
                    </wps:wsp>
                  </a:graphicData>
                </a:graphic>
              </wp:anchor>
            </w:drawing>
          </mc:Choice>
          <mc:Fallback>
            <w:pict>
              <v:line id="直线 3" o:spid="_x0000_s1026" o:spt="20" style="position:absolute;left:0pt;margin-left:0pt;margin-top:1638.35pt;height:0.1pt;width:453.75pt;z-index:251659264;mso-width-relative:page;mso-height-relative:page;" filled="f" stroked="t" coordsize="21600,21600" o:gfxdata="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L7/OR1wAAAAoB&#10;AAAPAAAAAAAAAAEAIAAAACIAAABkcnMvZG93bnJldi54bWxQSwECFAAUAAAACACHTuJAhmZ/auMB&#10;AADQAwAADgAAAAAAAAABACAAAAAmAQAAZHJzL2Uyb0RvYy54bWxQSwUGAAAAAAYABgBZAQAAewUA&#10;AAAA&#10;">
                <v:fill on="f" focussize="0,0"/>
                <v:stroke weight="0.737007874015748pt" color="#000000" joinstyle="round" endcap="square"/>
                <v:imagedata o:title=""/>
                <o:lock v:ext="edit" aspectratio="f"/>
              </v:line>
            </w:pict>
          </mc:Fallback>
        </mc:AlternateContent>
      </w:r>
      <w:r>
        <w:rPr>
          <w:rFonts w:hint="eastAsia" w:ascii="仿宋_GB2312" w:hAnsi="仿宋" w:eastAsia="仿宋_GB2312" w:cs="仿宋_GB2312"/>
          <w:color w:val="000000"/>
          <w:sz w:val="32"/>
          <w:szCs w:val="32"/>
        </w:rPr>
        <w:t>本文书</w:t>
      </w:r>
      <w:r>
        <w:rPr>
          <w:rFonts w:hint="eastAsia" w:ascii="仿宋_GB2312" w:hAnsi="仿宋" w:eastAsia="仿宋_GB2312" w:cs="仿宋_GB2312"/>
          <w:color w:val="000000"/>
          <w:sz w:val="32"/>
          <w:szCs w:val="32"/>
          <w:lang w:eastAsia="zh-CN"/>
        </w:rPr>
        <w:t>一式两份，一份</w:t>
      </w:r>
      <w:r>
        <w:rPr>
          <w:rFonts w:hint="eastAsia" w:ascii="仿宋_GB2312" w:hAnsi="仿宋" w:eastAsia="仿宋_GB2312" w:cs="仿宋_GB2312"/>
          <w:color w:val="000000"/>
          <w:sz w:val="32"/>
          <w:szCs w:val="32"/>
        </w:rPr>
        <w:t>送达，一份归档。</w:t>
      </w:r>
    </w:p>
    <w:p w14:paraId="51E92BE4">
      <w:pPr>
        <w:spacing w:before="106" w:line="183" w:lineRule="auto"/>
        <w:ind w:firstLine="231"/>
        <w:rPr>
          <w:spacing w:val="0"/>
          <w:w w:val="100"/>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JhengHei">
    <w:panose1 w:val="020B0604030504040204"/>
    <w:charset w:val="88"/>
    <w:family w:val="swiss"/>
    <w:pitch w:val="default"/>
    <w:sig w:usb0="00000087" w:usb1="28AF4000" w:usb2="00000016" w:usb3="00000000" w:csb0="00100009"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C72BB2">
    <w:pPr>
      <w:spacing w:line="196" w:lineRule="exact"/>
      <w:rPr>
        <w:rFonts w:ascii="宋体" w:hAnsi="宋体" w:eastAsia="宋体" w:cs="宋体"/>
        <w:sz w:val="28"/>
        <w:szCs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35C31E">
    <w:pPr>
      <w:spacing w:line="14" w:lineRule="auto"/>
      <w:rPr>
        <w:rFonts w:ascii="Microsoft JhengHei"/>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D59213"/>
    <w:multiLevelType w:val="singleLevel"/>
    <w:tmpl w:val="3AD59213"/>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zNjBkOTgyNWQ1YTMxYzM3MzMwNWFiODNmOWIzYWMifQ=="/>
  </w:docVars>
  <w:rsids>
    <w:rsidRoot w:val="00000000"/>
    <w:rsid w:val="00523EB0"/>
    <w:rsid w:val="016A6FD7"/>
    <w:rsid w:val="04293CFB"/>
    <w:rsid w:val="0B3440E4"/>
    <w:rsid w:val="0D447276"/>
    <w:rsid w:val="0DBD22EC"/>
    <w:rsid w:val="0DC12675"/>
    <w:rsid w:val="11621A79"/>
    <w:rsid w:val="14515DD5"/>
    <w:rsid w:val="15EB3B4C"/>
    <w:rsid w:val="23AD74CB"/>
    <w:rsid w:val="24B9255E"/>
    <w:rsid w:val="25227A45"/>
    <w:rsid w:val="253A7874"/>
    <w:rsid w:val="264E7E89"/>
    <w:rsid w:val="289A78F2"/>
    <w:rsid w:val="29B35913"/>
    <w:rsid w:val="2A306760"/>
    <w:rsid w:val="2C545A11"/>
    <w:rsid w:val="2F8512FC"/>
    <w:rsid w:val="30175A94"/>
    <w:rsid w:val="353E3913"/>
    <w:rsid w:val="353F631E"/>
    <w:rsid w:val="39B20F40"/>
    <w:rsid w:val="3AFB3A56"/>
    <w:rsid w:val="3AFE1F63"/>
    <w:rsid w:val="3BF75330"/>
    <w:rsid w:val="3E8D1F7B"/>
    <w:rsid w:val="40963FC7"/>
    <w:rsid w:val="414D154E"/>
    <w:rsid w:val="41913B31"/>
    <w:rsid w:val="42E27DDC"/>
    <w:rsid w:val="44185E43"/>
    <w:rsid w:val="452A2718"/>
    <w:rsid w:val="464F5D68"/>
    <w:rsid w:val="474F4272"/>
    <w:rsid w:val="47BA0375"/>
    <w:rsid w:val="4D724A1E"/>
    <w:rsid w:val="526470DD"/>
    <w:rsid w:val="54ED50CA"/>
    <w:rsid w:val="55F46D30"/>
    <w:rsid w:val="591F781C"/>
    <w:rsid w:val="596D6CF1"/>
    <w:rsid w:val="5BF3746A"/>
    <w:rsid w:val="5C58107B"/>
    <w:rsid w:val="5C7B2FBB"/>
    <w:rsid w:val="5C86208C"/>
    <w:rsid w:val="5E457324"/>
    <w:rsid w:val="630B1245"/>
    <w:rsid w:val="63D74F7B"/>
    <w:rsid w:val="658B24C1"/>
    <w:rsid w:val="65CE23AE"/>
    <w:rsid w:val="66C739CD"/>
    <w:rsid w:val="69293CA2"/>
    <w:rsid w:val="6A252073"/>
    <w:rsid w:val="6AB959E6"/>
    <w:rsid w:val="6BE5323D"/>
    <w:rsid w:val="6D7F09D3"/>
    <w:rsid w:val="6ECA68AA"/>
    <w:rsid w:val="6F007F22"/>
    <w:rsid w:val="6F842A78"/>
    <w:rsid w:val="72AF2EBE"/>
    <w:rsid w:val="751B33A8"/>
    <w:rsid w:val="77365F93"/>
    <w:rsid w:val="78D37FAF"/>
    <w:rsid w:val="795B53DC"/>
    <w:rsid w:val="7A08324D"/>
    <w:rsid w:val="7B3F115D"/>
    <w:rsid w:val="7C091DFF"/>
    <w:rsid w:val="7C337D02"/>
    <w:rsid w:val="7D0A7D18"/>
    <w:rsid w:val="7DA55C93"/>
    <w:rsid w:val="7EB70DE3"/>
    <w:rsid w:val="7F7D0C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0"/>
    <w:pPr>
      <w:spacing w:line="199" w:lineRule="auto"/>
      <w:jc w:val="center"/>
      <w:outlineLvl w:val="0"/>
    </w:pPr>
    <w:rPr>
      <w:rFonts w:ascii="Microsoft JhengHei" w:hAnsi="Microsoft JhengHei" w:eastAsia="Microsoft JhengHei" w:cs="Microsoft JhengHei"/>
      <w:spacing w:val="-2"/>
      <w:sz w:val="44"/>
      <w:szCs w:val="44"/>
    </w:rPr>
  </w:style>
  <w:style w:type="table" w:customStyle="1" w:styleId="5">
    <w:name w:val="Table Normal"/>
    <w:semiHidden/>
    <w:unhideWhenUsed/>
    <w:qFormat/>
    <w:uiPriority w:val="0"/>
    <w:tblPr>
      <w:tblCellMar>
        <w:top w:w="0" w:type="dxa"/>
        <w:left w:w="0" w:type="dxa"/>
        <w:bottom w:w="0" w:type="dxa"/>
        <w:right w:w="0" w:type="dxa"/>
      </w:tblCellMar>
    </w:tblPr>
  </w:style>
  <w:style w:type="paragraph"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b5067cad-adfc-4b4f-887e-b5e860e1320a</errorID>
      <errorWord>(</errorWord>
      <group>L1_Format</group>
      <groupName>格式问题</groupName>
      <ability>L2_HalfPunc_CN</ability>
      <abilityName/>
      <candidateList>
        <item>（</item>
      </candidateList>
      <explain>文本全半角错误。</explain>
      <paraID>5214AF94</paraID>
      <start>218</start>
      <end>219</end>
      <status>ignored</status>
      <modifiedWord/>
      <trackRevisions>false</trackRevisions>
    </reviewItem>
    <reviewItem>
      <errorID>a06f2742-54b9-4c4a-9e27-0782343cae88</errorID>
      <errorWord>)</errorWord>
      <group>L1_Format</group>
      <groupName>格式问题</groupName>
      <ability>L2_HalfPunc_CN</ability>
      <abilityName/>
      <candidateList>
        <item>）</item>
      </candidateList>
      <explain>文本全半角错误。</explain>
      <paraID>5214AF94</paraID>
      <start>221</start>
      <end>222</end>
      <status>ignored</status>
      <modifiedWord/>
      <trackRevisions>false</trackRevisions>
    </reviewItem>
    <reviewItem>
      <errorID>498a099d-8b64-4e7d-a057-7c96acacaeaf</errorID>
      <errorWord>(</errorWord>
      <group>L1_Format</group>
      <groupName>格式问题</groupName>
      <ability>L2_HalfPunc_CN</ability>
      <abilityName/>
      <candidateList>
        <item>（</item>
      </candidateList>
      <explain>文本全半角错误。</explain>
      <paraID>74601B96</paraID>
      <start>472</start>
      <end>473</end>
      <status>ignored</status>
      <modifiedWord/>
      <trackRevisions>false</trackRevisions>
    </reviewItem>
    <reviewItem>
      <errorID>0d07a3ed-e18a-4b93-85af-1733b6e1e1a6</errorID>
      <errorWord>)</errorWord>
      <group>L1_Format</group>
      <groupName>格式问题</groupName>
      <ability>L2_HalfPunc_CN</ability>
      <abilityName/>
      <candidateList>
        <item>）</item>
      </candidateList>
      <explain>文本全半角错误。</explain>
      <paraID>74601B96</paraID>
      <start>475</start>
      <end>476</end>
      <status>unmodified</status>
      <modifiedWord/>
      <trackRevisions>false</trackRevisions>
    </reviewItem>
    <reviewItem>
      <errorID>1a116e64-1bee-43a3-ab53-3ba4f175865f</errorID>
      <errorWord>身份证</errorWord>
      <group>L1_Sensitive</group>
      <groupName>敏感问题</groupName>
      <ability>L2_UserSensitive</ability>
      <abilityName>自定义敏感词</abilityName>
      <candidateList/>
      <explain>来自自定义敏感词库。</explain>
      <paraID>7F448E0B</paraID>
      <start>52</start>
      <end>55</end>
      <status>unmodified</status>
      <modifiedWord/>
      <trackRevisions>false</trackRevisions>
    </reviewItem>
    <reviewItem>
      <errorID>676a8f6f-c5cc-4086-a364-4b948e9a15de</errorID>
      <errorWord>[2026]</errorWord>
      <group>L1_Punc</group>
      <groupName>标点问题</groupName>
      <ability>L2_Punc_CN</ability>
      <abilityName/>
      <candidateList>
        <item>〔2026〕</item>
      </candidateList>
      <explain/>
      <paraID>763B477D</paraID>
      <start>36</start>
      <end>42</end>
      <status>modified</status>
      <modifiedWord>〔2026〕</modifiedWord>
      <trackRevisions>false</trackRevisions>
    </reviewItem>
    <reviewItem>
      <errorID>76be6b52-59c9-497b-a9b1-04e3db77915b</errorID>
      <errorWord>(</errorWord>
      <group>L1_Format</group>
      <groupName>格式问题</groupName>
      <ability>L2_HalfPunc_CN</ability>
      <abilityName/>
      <candidateList>
        <item>（</item>
      </candidateList>
      <explain>文本全半角错误。</explain>
      <paraID>70F48734</paraID>
      <start>74</start>
      <end>75</end>
      <status>ignored</status>
      <modifiedWord/>
      <trackRevisions>false</trackRevisions>
    </reviewItem>
    <reviewItem>
      <errorID>9eb11d96-8ebd-4f5d-b1c4-0c35389bf812</errorID>
      <errorWord>)</errorWord>
      <group>L1_Format</group>
      <groupName>格式问题</groupName>
      <ability>L2_HalfPunc_CN</ability>
      <abilityName/>
      <candidateList>
        <item>）</item>
      </candidateList>
      <explain>文本全半角错误。</explain>
      <paraID>70F48734</paraID>
      <start>77</start>
      <end>78</end>
      <status>unmodified</status>
      <modifiedWord/>
      <trackRevisions>false</trackRevisions>
    </reviewItem>
    <reviewItem>
      <errorID>1a8e4ac0-2e09-4b69-b84a-ac7401d0d516</errorID>
      <errorWord>;</errorWord>
      <group>L1_Format</group>
      <groupName>格式问题</groupName>
      <ability>L2_HalfPunc_CN</ability>
      <abilityName/>
      <candidateList>
        <item>；</item>
      </candidateList>
      <explain>文本全半角错误。</explain>
      <paraID>3FE2ECDF</paraID>
      <start>245</start>
      <end>246</end>
      <status>unmodified</status>
      <modifiedWord/>
      <trackRevisions>false</trackRevisions>
    </reviewItem>
    <reviewItem>
      <errorID>b5c3b227-5bb3-40aa-9b19-b3a78927f674</errorID>
      <errorWord>法律、法规</errorWord>
      <group>L1_Word</group>
      <groupName>字词问题</groupName>
      <ability>L2_Typo</ability>
      <abilityName>字词错误</abilityName>
      <candidateList>
        <item>法律法规</item>
      </candidateList>
      <explain/>
      <paraID>78EA5566</paraID>
      <start>99</start>
      <end>104</end>
      <status>unmodified</status>
      <modifiedWord/>
      <trackRevisions>false</trackRevisions>
    </reviewItem>
    <reviewItem>
      <errorID>8d92f7b4-b3a5-45e6-a39c-151e09d778cc</errorID>
      <errorWord>一式二份，一份</errorWord>
      <group>L1_Word</group>
      <groupName>字词问题</groupName>
      <ability>L2_Typo</ability>
      <abilityName>字词错误</abilityName>
      <candidateList>
        <item>一式两份，一份</item>
      </candidateList>
      <explain/>
      <paraID>16AE9F31</paraID>
      <start>5</start>
      <end>12</end>
      <status>modified</status>
      <modifiedWord>一式两份，一份</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204013-2294-4bbb-b659-a65438dce16f}">
  <ds:schemaRefs/>
</ds:datastoreItem>
</file>

<file path=docProps/app.xml><?xml version="1.0" encoding="utf-8"?>
<Properties xmlns="http://schemas.openxmlformats.org/officeDocument/2006/extended-properties" xmlns:vt="http://schemas.openxmlformats.org/officeDocument/2006/docPropsVTypes">
  <Template>Normal.dotm</Template>
  <Pages>3</Pages>
  <Words>1769</Words>
  <Characters>1858</Characters>
  <Lines>0</Lines>
  <Paragraphs>0</Paragraphs>
  <TotalTime>3</TotalTime>
  <ScaleCrop>false</ScaleCrop>
  <LinksUpToDate>false</LinksUpToDate>
  <CharactersWithSpaces>1863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2024-02-28T10:14:00Z</dcterms:created>
  <dc:creator>admin</dc:creator>
  <cp:lastModifiedBy>天天8871</cp:lastModifiedBy>
  <dcterms:modified xsi:type="dcterms:W3CDTF">2026-07-08T08:21:42Z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418C01DBAB86420BB5E3D98C8368170E_12</vt:lpwstr>
  </property>
  <property fmtid="{D5CDD505-2E9C-101B-9397-08002B2CF9AE}" pid="4" name="KSOTemplateDocerSaveRecord">
    <vt:lpwstr>eyJoZGlkIjoiOTQ4NzBkNmM4Yzk5NTU5YTIwNTkxZTRlZDYxMzgyNTAiLCJ1c2VySWQiOiI3MjUzNTA0OTgifQ==</vt:lpwstr>
  </property>
</Properties>
</file>