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BD03F8">
      <w:pPr>
        <w:spacing w:line="640" w:lineRule="exact"/>
        <w:jc w:val="center"/>
        <w:rPr>
          <w:rFonts w:ascii="Times New Roman" w:hAnsi="Times New Roman" w:eastAsia="方正小标宋简体" w:cs="Times New Roman"/>
          <w:color w:val="000000"/>
          <w:sz w:val="44"/>
          <w:szCs w:val="44"/>
        </w:rPr>
      </w:pPr>
      <w:r>
        <w:rPr>
          <w:rFonts w:hint="eastAsia" w:ascii="Times New Roman" w:hAnsi="Times New Roman" w:eastAsia="方正小标宋简体" w:cs="方正小标宋简体"/>
          <w:color w:val="000000"/>
          <w:sz w:val="44"/>
          <w:szCs w:val="44"/>
        </w:rPr>
        <w:t>晋江市市场监督管理局</w:t>
      </w:r>
    </w:p>
    <w:p w14:paraId="7B75A3AD">
      <w:pPr>
        <w:spacing w:line="640" w:lineRule="exact"/>
        <w:jc w:val="center"/>
        <w:rPr>
          <w:rFonts w:ascii="Times New Roman" w:hAnsi="Times New Roman" w:eastAsia="方正小标宋简体" w:cs="Times New Roman"/>
          <w:color w:val="000000"/>
          <w:sz w:val="44"/>
          <w:szCs w:val="44"/>
        </w:rPr>
      </w:pPr>
      <w:r>
        <w:rPr>
          <w:rFonts w:hint="eastAsia" w:ascii="Times New Roman" w:hAnsi="Times New Roman" w:eastAsia="方正小标宋简体" w:cs="方正小标宋简体"/>
          <w:color w:val="000000"/>
          <w:sz w:val="44"/>
          <w:szCs w:val="44"/>
        </w:rPr>
        <w:t>行政处罚决定书</w:t>
      </w:r>
    </w:p>
    <w:p w14:paraId="729D8D41">
      <w:pPr>
        <w:wordWrap w:val="0"/>
        <w:snapToGrid w:val="0"/>
        <w:spacing w:beforeLines="100" w:afterLines="100" w:line="320" w:lineRule="exact"/>
        <w:jc w:val="center"/>
        <w:rPr>
          <w:rFonts w:ascii="仿宋_GB2312" w:hAnsi="Times New Roman" w:eastAsia="仿宋_GB2312" w:cs="Times New Roman"/>
          <w:color w:val="000000"/>
          <w:sz w:val="32"/>
          <w:szCs w:val="32"/>
        </w:rPr>
      </w:pPr>
      <w: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 name="自选图形 2"/>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wps:spPr>
                      <wps:bodyPr/>
                    </wps:wsp>
                  </a:graphicData>
                </a:graphic>
              </wp:anchor>
            </w:drawing>
          </mc:Choice>
          <mc:Fallback>
            <w:pict>
              <v:shape id="自选图形 2" o:spid="_x0000_s1026" o:spt="32" type="#_x0000_t32" style="position:absolute;left:0pt;margin-left:2pt;margin-top:1638pt;height:0.1pt;width:453.7pt;z-index:251659264;mso-width-relative:page;mso-height-relative:page;" filled="f" stroked="t" coordsize="21600,21600" o:gfxdata="UEsDBAoAAAAAAIdO4kAAAAAAAAAAAAAAAAAEAAAAZHJzL1BLAwQUAAAACACHTuJAi14omtoAAAAL&#10;AQAADwAAAGRycy9kb3ducmV2LnhtbE2PS0/DMBCE70j8B2uRuFE7aSkQ4lSoCCEuUR8cOLrxEkfE&#10;6yh2H/DrWcQBbrs7o9lvysXJ9+KAY+wCacgmCgRSE2xHrYbX7dPVLYiYDFnTB0INnxhhUZ2flaaw&#10;4UhrPGxSKziEYmE0uJSGQsrYOPQmTsKAxNp7GL1JvI6ttKM5crjvZa7UXHrTEX9wZsClw+Zjs/ca&#10;6uXLc1LXq9W6dm/5dto81vHhS+vLi0zdg0h4Sn9m+MFndKiYaRf2ZKPoNcy4SdIwzW/mPLHhLstm&#10;IHa/pxxkVcr/HapvUEsDBBQAAAAIAIdO4kCpgPM29wEAAOUDAAAOAAAAZHJzL2Uyb0RvYy54bWyt&#10;U82O0zAQviPxDpbvNGml3aVR0z20LBcElYAHmDpOYsl/eLxNe+OGeAZuHHkHeJuVlrdg7JQuLJce&#10;yMEZe2a+me/zeHG9N5rtZEDlbM2nk5IzaYVrlO1q/v7dzbPnnGEE24B2Vtb8IJFfL58+WQy+kjPX&#10;O93IwAjEYjX4mvcx+qooUPTSAE6cl5acrQsGIm1DVzQBBkI3upiV5WUxuND44IREpNP16ORHxHAO&#10;oGtbJeTaiVsjbRxRg9QQiRL2yiNf5m7bVor4pm1RRqZrTkxjXqkI2du0FssFVF0A3ytxbAHOaeER&#10;JwPKUtET1BoisNug/oEySgSHro0T4UwxEsmKEItp+Uibtz14mbmQ1OhPouP/gxWvd5vAVEOTwJkF&#10;Qxd+/+nbz4+f7778uPv+lc2SQoPHigJXdhOOO/SbkOju22DSn4iwfVb1cFJV7iMTdHhxdTmdz0lw&#10;Qb7p7CqLXjzk+oDxpXSGJaPmGAOoro8rZy1dnwvTLCzsXmGk6pT4OyEV1pYNhDovL1IBoHnED2QY&#10;T4zQdjkVnVbNjdI6JWDotisd2A7SROQvUSTYv8JSjTVgP8Zl1zgrvYTmhW1YPHjSytIT4akDIxvO&#10;tKQXlSwChCqC0udEUmltqYOk8qhrsrauOWS58zndfu7xOKlpvP7c5+yH17n8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IteKJraAAAACwEAAA8AAAAAAAAAAQAgAAAAIgAAAGRycy9kb3ducmV2Lnht&#10;bFBLAQIUABQAAAAIAIdO4kCpgPM29wEAAOUDAAAOAAAAAAAAAAEAIAAAACkBAABkcnMvZTJvRG9j&#10;LnhtbFBLBQYAAAAABgAGAFkBAACSBQAAAAA=&#10;">
                <v:fill on="f" focussize="0,0"/>
                <v:stroke weight="1.5pt" color="#000000" joinstyle="round" endcap="square"/>
                <v:imagedata o:title=""/>
                <o:lock v:ext="edit" aspectratio="f"/>
              </v:shape>
            </w:pict>
          </mc:Fallback>
        </mc:AlternateContent>
      </w:r>
      <w:r>
        <w:rPr>
          <w:rFonts w:hint="eastAsia" w:ascii="仿宋_GB2312" w:hAnsi="Times New Roman" w:eastAsia="仿宋_GB2312" w:cs="仿宋_GB2312"/>
          <w:color w:val="000000"/>
          <w:sz w:val="32"/>
          <w:szCs w:val="32"/>
        </w:rPr>
        <w:t>晋市监处</w:t>
      </w:r>
      <w:r>
        <w:rPr>
          <w:rFonts w:hint="eastAsia" w:ascii="仿宋_GB2312" w:hAnsi="Times New Roman" w:eastAsia="仿宋_GB2312" w:cs="仿宋_GB2312"/>
          <w:color w:val="000000"/>
          <w:sz w:val="32"/>
          <w:szCs w:val="32"/>
          <w:lang w:eastAsia="zh-CN"/>
        </w:rPr>
        <w:t>罚</w:t>
      </w:r>
      <w:r>
        <w:rPr>
          <w:rFonts w:hint="eastAsia" w:ascii="仿宋_GB2312" w:hAnsi="Times New Roman" w:eastAsia="仿宋_GB2312" w:cs="仿宋_GB2312"/>
          <w:color w:val="000000"/>
          <w:sz w:val="32"/>
          <w:szCs w:val="32"/>
        </w:rPr>
        <w:t>〔20</w:t>
      </w:r>
      <w:r>
        <w:rPr>
          <w:rFonts w:hint="eastAsia" w:ascii="仿宋_GB2312" w:hAnsi="Times New Roman" w:eastAsia="仿宋_GB2312" w:cs="仿宋_GB2312"/>
          <w:color w:val="000000"/>
          <w:sz w:val="32"/>
          <w:szCs w:val="32"/>
          <w:lang w:val="en-US" w:eastAsia="zh-CN"/>
        </w:rPr>
        <w:t>26</w:t>
      </w:r>
      <w:r>
        <w:rPr>
          <w:rFonts w:hint="eastAsia" w:ascii="仿宋_GB2312" w:hAnsi="Times New Roman" w:eastAsia="仿宋_GB2312" w:cs="仿宋_GB2312"/>
          <w:color w:val="000000"/>
          <w:sz w:val="32"/>
          <w:szCs w:val="32"/>
        </w:rPr>
        <w:t>〕</w:t>
      </w:r>
      <w:r>
        <w:rPr>
          <w:rFonts w:hint="eastAsia" w:ascii="仿宋_GB2312" w:hAnsi="Times New Roman" w:eastAsia="仿宋_GB2312" w:cs="仿宋_GB2312"/>
          <w:color w:val="000000"/>
          <w:sz w:val="32"/>
          <w:szCs w:val="32"/>
          <w:lang w:val="en-US" w:eastAsia="zh-CN"/>
        </w:rPr>
        <w:t>2</w:t>
      </w:r>
      <w:r>
        <w:rPr>
          <w:rFonts w:hint="eastAsia" w:ascii="仿宋_GB2312" w:hAnsi="Times New Roman" w:eastAsia="仿宋_GB2312" w:cs="仿宋_GB2312"/>
          <w:color w:val="000000"/>
          <w:sz w:val="32"/>
          <w:szCs w:val="32"/>
        </w:rPr>
        <w:t>1-</w:t>
      </w:r>
      <w:r>
        <w:rPr>
          <w:rFonts w:hint="eastAsia" w:ascii="仿宋_GB2312" w:hAnsi="Times New Roman" w:eastAsia="仿宋_GB2312" w:cs="仿宋_GB2312"/>
          <w:color w:val="000000"/>
          <w:sz w:val="32"/>
          <w:szCs w:val="32"/>
          <w:lang w:val="en-US" w:eastAsia="zh-CN"/>
        </w:rPr>
        <w:t>17</w:t>
      </w:r>
      <w:r>
        <w:rPr>
          <w:rFonts w:hint="eastAsia" w:ascii="仿宋_GB2312" w:hAnsi="Times New Roman" w:eastAsia="仿宋_GB2312" w:cs="仿宋_GB2312"/>
          <w:color w:val="000000"/>
          <w:sz w:val="32"/>
          <w:szCs w:val="32"/>
        </w:rPr>
        <w:t>号</w:t>
      </w:r>
    </w:p>
    <w:p w14:paraId="770346D0">
      <w:pPr>
        <w:keepNext w:val="0"/>
        <w:keepLines w:val="0"/>
        <w:pageBreakBefore w:val="0"/>
        <w:widowControl w:val="0"/>
        <w:kinsoku/>
        <w:overflowPunct/>
        <w:topLinePunct w:val="0"/>
        <w:autoSpaceDE/>
        <w:autoSpaceDN/>
        <w:bidi w:val="0"/>
        <w:adjustRightInd/>
        <w:snapToGrid/>
        <w:spacing w:line="440" w:lineRule="exact"/>
        <w:ind w:firstLine="640" w:firstLineChars="200"/>
        <w:jc w:val="left"/>
        <w:textAlignment w:val="auto"/>
        <w:rPr>
          <w:rFonts w:hint="eastAsia" w:ascii="仿宋_GB2312" w:hAnsi="仿宋" w:eastAsia="仿宋_GB2312" w:cs="仿宋_GB2312"/>
          <w:color w:val="000000"/>
          <w:sz w:val="32"/>
          <w:szCs w:val="32"/>
          <w:u w:val="none"/>
        </w:rPr>
      </w:pPr>
      <w:r>
        <w:rPr>
          <w:rFonts w:hint="eastAsia" w:ascii="仿宋_GB2312" w:hAnsi="仿宋" w:eastAsia="仿宋_GB2312" w:cs="仿宋_GB2312"/>
          <w:color w:val="000000"/>
          <w:sz w:val="32"/>
          <w:szCs w:val="32"/>
          <w:u w:val="none"/>
        </w:rPr>
        <w:t>当事人：福建晋江市济仁大药房有限公司</w:t>
      </w:r>
    </w:p>
    <w:p w14:paraId="2BF4F28A">
      <w:pPr>
        <w:keepNext w:val="0"/>
        <w:keepLines w:val="0"/>
        <w:pageBreakBefore w:val="0"/>
        <w:widowControl w:val="0"/>
        <w:kinsoku/>
        <w:overflowPunct/>
        <w:topLinePunct w:val="0"/>
        <w:autoSpaceDE/>
        <w:autoSpaceDN/>
        <w:bidi w:val="0"/>
        <w:adjustRightInd/>
        <w:snapToGrid/>
        <w:spacing w:line="440" w:lineRule="exact"/>
        <w:ind w:firstLine="640" w:firstLineChars="200"/>
        <w:jc w:val="left"/>
        <w:textAlignment w:val="auto"/>
        <w:rPr>
          <w:rFonts w:hint="eastAsia" w:ascii="仿宋_GB2312" w:hAnsi="仿宋" w:eastAsia="仿宋_GB2312" w:cs="仿宋_GB2312"/>
          <w:color w:val="000000"/>
          <w:sz w:val="32"/>
          <w:szCs w:val="32"/>
          <w:u w:val="none"/>
        </w:rPr>
      </w:pPr>
      <w:r>
        <w:rPr>
          <w:rFonts w:hint="eastAsia" w:ascii="仿宋_GB2312" w:hAnsi="仿宋" w:eastAsia="仿宋_GB2312" w:cs="仿宋_GB2312"/>
          <w:color w:val="000000"/>
          <w:sz w:val="32"/>
          <w:szCs w:val="32"/>
          <w:u w:val="none"/>
        </w:rPr>
        <w:t>统一社会信用代码：91350582MA32UD6U7C</w:t>
      </w:r>
    </w:p>
    <w:p w14:paraId="7380009B">
      <w:pPr>
        <w:keepNext w:val="0"/>
        <w:keepLines w:val="0"/>
        <w:pageBreakBefore w:val="0"/>
        <w:widowControl w:val="0"/>
        <w:kinsoku/>
        <w:overflowPunct/>
        <w:topLinePunct w:val="0"/>
        <w:autoSpaceDE/>
        <w:autoSpaceDN/>
        <w:bidi w:val="0"/>
        <w:adjustRightInd/>
        <w:snapToGrid/>
        <w:spacing w:line="440" w:lineRule="exact"/>
        <w:ind w:firstLine="640" w:firstLineChars="200"/>
        <w:jc w:val="left"/>
        <w:textAlignment w:val="auto"/>
        <w:rPr>
          <w:rFonts w:hint="eastAsia" w:ascii="仿宋_GB2312" w:hAnsi="仿宋" w:eastAsia="仿宋_GB2312" w:cs="仿宋_GB2312"/>
          <w:color w:val="000000"/>
          <w:sz w:val="32"/>
          <w:szCs w:val="32"/>
          <w:u w:val="none"/>
        </w:rPr>
      </w:pPr>
      <w:r>
        <w:rPr>
          <w:rFonts w:hint="eastAsia" w:ascii="仿宋_GB2312" w:hAnsi="仿宋" w:eastAsia="仿宋_GB2312" w:cs="仿宋_GB2312"/>
          <w:color w:val="000000"/>
          <w:sz w:val="32"/>
          <w:szCs w:val="32"/>
          <w:u w:val="none"/>
          <w:lang w:eastAsia="zh-CN"/>
        </w:rPr>
        <w:t>住所（住址）</w:t>
      </w:r>
      <w:r>
        <w:rPr>
          <w:rFonts w:hint="eastAsia" w:ascii="仿宋_GB2312" w:hAnsi="仿宋" w:eastAsia="仿宋_GB2312" w:cs="仿宋_GB2312"/>
          <w:color w:val="000000"/>
          <w:sz w:val="32"/>
          <w:szCs w:val="32"/>
          <w:u w:val="none"/>
        </w:rPr>
        <w:t>：福建省泉州市晋江市经济开发区（五里园）裕源路</w:t>
      </w:r>
      <w:r>
        <w:rPr>
          <w:rFonts w:hint="eastAsia" w:ascii="华文中宋" w:hAnsi="华文中宋" w:eastAsia="华文中宋" w:cs="华文中宋"/>
          <w:color w:val="000000"/>
          <w:sz w:val="32"/>
          <w:szCs w:val="32"/>
          <w:u w:val="none"/>
        </w:rPr>
        <w:t>****</w:t>
      </w:r>
      <w:r>
        <w:rPr>
          <w:rFonts w:hint="eastAsia" w:ascii="仿宋_GB2312" w:hAnsi="仿宋" w:eastAsia="仿宋_GB2312" w:cs="仿宋_GB2312"/>
          <w:color w:val="000000"/>
          <w:sz w:val="32"/>
          <w:szCs w:val="32"/>
          <w:u w:val="none"/>
        </w:rPr>
        <w:t>号</w:t>
      </w:r>
    </w:p>
    <w:p w14:paraId="63EC05A9">
      <w:pPr>
        <w:keepNext w:val="0"/>
        <w:keepLines w:val="0"/>
        <w:pageBreakBefore w:val="0"/>
        <w:widowControl w:val="0"/>
        <w:kinsoku/>
        <w:overflowPunct/>
        <w:topLinePunct w:val="0"/>
        <w:autoSpaceDE/>
        <w:autoSpaceDN/>
        <w:bidi w:val="0"/>
        <w:adjustRightInd/>
        <w:snapToGrid/>
        <w:spacing w:line="440" w:lineRule="exact"/>
        <w:ind w:firstLine="640" w:firstLineChars="200"/>
        <w:jc w:val="left"/>
        <w:textAlignment w:val="auto"/>
        <w:rPr>
          <w:rFonts w:hint="eastAsia" w:ascii="仿宋_GB2312" w:hAnsi="仿宋" w:eastAsia="仿宋_GB2312" w:cs="仿宋_GB2312"/>
          <w:color w:val="000000"/>
          <w:sz w:val="32"/>
          <w:szCs w:val="32"/>
          <w:u w:val="none"/>
        </w:rPr>
      </w:pPr>
      <w:r>
        <w:rPr>
          <w:rFonts w:hint="eastAsia" w:ascii="仿宋_GB2312" w:hAnsi="仿宋" w:eastAsia="仿宋_GB2312" w:cs="仿宋_GB2312"/>
          <w:color w:val="000000"/>
          <w:sz w:val="32"/>
          <w:szCs w:val="32"/>
          <w:u w:val="none"/>
          <w:lang w:eastAsia="zh-CN"/>
        </w:rPr>
        <w:t>法定代表人（负责人、经营者）</w:t>
      </w:r>
      <w:r>
        <w:rPr>
          <w:rFonts w:hint="eastAsia" w:ascii="仿宋_GB2312" w:hAnsi="仿宋" w:eastAsia="仿宋_GB2312" w:cs="仿宋_GB2312"/>
          <w:color w:val="000000"/>
          <w:sz w:val="32"/>
          <w:szCs w:val="32"/>
          <w:u w:val="none"/>
        </w:rPr>
        <w:t>：曾宽明</w:t>
      </w:r>
    </w:p>
    <w:p w14:paraId="3D9FC9B0">
      <w:pPr>
        <w:keepNext w:val="0"/>
        <w:keepLines w:val="0"/>
        <w:pageBreakBefore w:val="0"/>
        <w:widowControl w:val="0"/>
        <w:kinsoku/>
        <w:overflowPunct/>
        <w:topLinePunct w:val="0"/>
        <w:autoSpaceDE/>
        <w:autoSpaceDN/>
        <w:bidi w:val="0"/>
        <w:adjustRightInd/>
        <w:snapToGrid/>
        <w:spacing w:line="440" w:lineRule="exact"/>
        <w:ind w:firstLine="640" w:firstLineChars="200"/>
        <w:jc w:val="left"/>
        <w:textAlignment w:val="auto"/>
        <w:rPr>
          <w:rFonts w:hint="eastAsia" w:ascii="仿宋_GB2312" w:hAnsi="仿宋" w:eastAsia="仿宋_GB2312" w:cs="仿宋_GB2312"/>
          <w:color w:val="000000"/>
          <w:sz w:val="32"/>
          <w:szCs w:val="32"/>
        </w:rPr>
      </w:pPr>
      <w:r>
        <w:rPr>
          <w:rFonts w:hint="eastAsia" w:ascii="仿宋_GB2312" w:hAnsi="仿宋" w:eastAsia="仿宋_GB2312" w:cs="仿宋_GB2312"/>
          <w:color w:val="000000"/>
          <w:sz w:val="32"/>
          <w:szCs w:val="32"/>
        </w:rPr>
        <w:t>2026年3月24日我局</w:t>
      </w:r>
      <w:r>
        <w:rPr>
          <w:rFonts w:hint="eastAsia" w:ascii="仿宋_GB2312" w:hAnsi="仿宋" w:eastAsia="仿宋_GB2312" w:cs="仿宋_GB2312"/>
          <w:color w:val="000000"/>
          <w:sz w:val="32"/>
          <w:szCs w:val="32"/>
          <w:lang w:eastAsia="zh-CN"/>
        </w:rPr>
        <w:t>接到</w:t>
      </w:r>
      <w:r>
        <w:rPr>
          <w:rFonts w:hint="eastAsia" w:ascii="仿宋_GB2312" w:hAnsi="仿宋" w:eastAsia="仿宋_GB2312" w:cs="仿宋_GB2312"/>
          <w:color w:val="000000"/>
          <w:sz w:val="32"/>
          <w:szCs w:val="32"/>
        </w:rPr>
        <w:t>惠州市惠城区市场监督管理局案件协查及线索通报函（惠城市监协查</w:t>
      </w:r>
      <w:r>
        <w:rPr>
          <w:rFonts w:hint="eastAsia" w:ascii="仿宋_GB2312" w:hAnsi="仿宋" w:eastAsia="仿宋_GB2312" w:cs="仿宋_GB2312"/>
          <w:color w:val="000000"/>
          <w:sz w:val="32"/>
          <w:szCs w:val="32"/>
          <w:lang w:eastAsia="zh-CN"/>
        </w:rPr>
        <w:t>〔2026〕14号</w:t>
      </w:r>
      <w:r>
        <w:rPr>
          <w:rFonts w:hint="eastAsia" w:ascii="仿宋_GB2312" w:hAnsi="仿宋" w:eastAsia="仿宋_GB2312" w:cs="仿宋_GB2312"/>
          <w:color w:val="000000"/>
          <w:sz w:val="32"/>
          <w:szCs w:val="32"/>
        </w:rPr>
        <w:t>），称：该局在办理广东厚德医药有限公司涉嫌销售经检验不符合相关标准规定的“川贝母”一案中，该公司称曾于2023年2月22日销售1包（生产企业：惠州市泛生中药饮片有限公司，批号：221201，规格：10g*10/包）给福建晋江市济仁大药房有限公司。收悉该线索函件后，执法人员依法告知当事人检验报告（报告编号：ZF202418778）及相关信息，并依法开展检查。现场未发现该批号“川贝母”，当事人承认有购进该批号药品，但已全部销售。当事人行为涉嫌构成经营检验不符合药品标准的中药饮片，违反</w:t>
      </w:r>
      <w:r>
        <w:rPr>
          <w:rFonts w:hint="eastAsia" w:ascii="仿宋_GB2312" w:hAnsi="仿宋" w:eastAsia="仿宋_GB2312" w:cs="仿宋_GB2312"/>
          <w:color w:val="000000"/>
          <w:sz w:val="32"/>
          <w:szCs w:val="32"/>
          <w:lang w:eastAsia="zh-CN"/>
        </w:rPr>
        <w:t>《中华人民共和国药品管理法》</w:t>
      </w:r>
      <w:r>
        <w:rPr>
          <w:rFonts w:hint="eastAsia" w:ascii="仿宋_GB2312" w:hAnsi="仿宋" w:eastAsia="仿宋_GB2312" w:cs="仿宋_GB2312"/>
          <w:color w:val="000000"/>
          <w:sz w:val="32"/>
          <w:szCs w:val="32"/>
        </w:rPr>
        <w:t>第九十八条第一款规定，报领导审批后予以立案调查。</w:t>
      </w:r>
    </w:p>
    <w:p w14:paraId="40CA1C9A">
      <w:pPr>
        <w:keepNext w:val="0"/>
        <w:keepLines w:val="0"/>
        <w:pageBreakBefore w:val="0"/>
        <w:widowControl w:val="0"/>
        <w:kinsoku/>
        <w:overflowPunct/>
        <w:topLinePunct w:val="0"/>
        <w:autoSpaceDE/>
        <w:autoSpaceDN/>
        <w:bidi w:val="0"/>
        <w:adjustRightInd/>
        <w:snapToGrid/>
        <w:spacing w:line="440" w:lineRule="exact"/>
        <w:ind w:firstLine="640" w:firstLineChars="200"/>
        <w:jc w:val="left"/>
        <w:textAlignment w:val="auto"/>
        <w:rPr>
          <w:rFonts w:hint="eastAsia" w:ascii="仿宋_GB2312" w:hAnsi="仿宋" w:eastAsia="仿宋_GB2312" w:cs="仿宋_GB2312"/>
          <w:color w:val="000000"/>
          <w:sz w:val="32"/>
          <w:szCs w:val="32"/>
          <w:lang w:eastAsia="zh-CN"/>
        </w:rPr>
      </w:pPr>
      <w:r>
        <w:rPr>
          <w:rFonts w:hint="eastAsia" w:ascii="仿宋_GB2312" w:hAnsi="仿宋" w:eastAsia="仿宋_GB2312" w:cs="仿宋_GB2312"/>
          <w:color w:val="000000"/>
          <w:sz w:val="32"/>
          <w:szCs w:val="32"/>
        </w:rPr>
        <w:t>经查实，当事人</w:t>
      </w:r>
      <w:r>
        <w:rPr>
          <w:rFonts w:hint="eastAsia" w:ascii="仿宋_GB2312" w:hAnsi="仿宋" w:eastAsia="仿宋_GB2312" w:cs="仿宋_GB2312"/>
          <w:color w:val="000000"/>
          <w:sz w:val="32"/>
          <w:szCs w:val="32"/>
          <w:lang w:eastAsia="zh-CN"/>
        </w:rPr>
        <w:t>持有</w:t>
      </w:r>
      <w:r>
        <w:rPr>
          <w:rFonts w:hint="eastAsia" w:ascii="仿宋_GB2312" w:hAnsi="仿宋" w:eastAsia="仿宋_GB2312" w:cs="仿宋_GB2312"/>
          <w:color w:val="000000"/>
          <w:sz w:val="32"/>
          <w:szCs w:val="32"/>
        </w:rPr>
        <w:t>《营业执照》</w:t>
      </w:r>
      <w:r>
        <w:rPr>
          <w:rFonts w:hint="eastAsia" w:ascii="仿宋_GB2312" w:hAnsi="仿宋" w:eastAsia="仿宋_GB2312" w:cs="仿宋_GB2312"/>
          <w:color w:val="000000"/>
          <w:sz w:val="32"/>
          <w:szCs w:val="32"/>
          <w:lang w:eastAsia="zh-CN"/>
        </w:rPr>
        <w:t>和</w:t>
      </w:r>
      <w:r>
        <w:rPr>
          <w:rFonts w:hint="eastAsia" w:ascii="仿宋_GB2312" w:hAnsi="仿宋" w:eastAsia="仿宋_GB2312" w:cs="仿宋_GB2312"/>
          <w:color w:val="000000"/>
          <w:sz w:val="32"/>
          <w:szCs w:val="32"/>
        </w:rPr>
        <w:t>《药品经营许可证》</w:t>
      </w:r>
      <w:r>
        <w:rPr>
          <w:rFonts w:hint="eastAsia" w:ascii="仿宋_GB2312" w:hAnsi="仿宋" w:eastAsia="仿宋_GB2312" w:cs="仿宋_GB2312"/>
          <w:color w:val="000000"/>
          <w:sz w:val="32"/>
          <w:szCs w:val="32"/>
          <w:lang w:eastAsia="zh-CN"/>
        </w:rPr>
        <w:t>，于2023年2月22日向广东厚德医药有限公司购进“川贝母”（批号：221201，规格：10g/袋*10袋/包）1包，进价为450元/包，总进货金额450元。经查询计算机系统记录数据，当事人以68元/袋和60元/袋各销售</w:t>
      </w:r>
      <w:r>
        <w:rPr>
          <w:rFonts w:hint="eastAsia" w:ascii="仿宋_GB2312" w:hAnsi="仿宋" w:eastAsia="仿宋_GB2312" w:cs="仿宋_GB2312"/>
          <w:color w:val="000000"/>
          <w:sz w:val="32"/>
          <w:szCs w:val="32"/>
          <w:lang w:val="en-US" w:eastAsia="zh-CN"/>
        </w:rPr>
        <w:t>1袋，</w:t>
      </w:r>
      <w:r>
        <w:rPr>
          <w:rFonts w:hint="eastAsia" w:ascii="仿宋_GB2312" w:hAnsi="仿宋" w:eastAsia="仿宋_GB2312" w:cs="仿宋_GB2312"/>
          <w:color w:val="000000"/>
          <w:sz w:val="32"/>
          <w:szCs w:val="32"/>
          <w:lang w:eastAsia="zh-CN"/>
        </w:rPr>
        <w:t>以63元/袋销售</w:t>
      </w:r>
      <w:r>
        <w:rPr>
          <w:rFonts w:hint="eastAsia" w:ascii="仿宋_GB2312" w:hAnsi="仿宋" w:eastAsia="仿宋_GB2312" w:cs="仿宋_GB2312"/>
          <w:color w:val="000000"/>
          <w:sz w:val="32"/>
          <w:szCs w:val="32"/>
          <w:lang w:val="en-US" w:eastAsia="zh-CN"/>
        </w:rPr>
        <w:t>8袋</w:t>
      </w:r>
      <w:r>
        <w:rPr>
          <w:rFonts w:hint="eastAsia" w:ascii="仿宋_GB2312" w:hAnsi="仿宋" w:eastAsia="仿宋_GB2312" w:cs="仿宋_GB2312"/>
          <w:color w:val="000000"/>
          <w:sz w:val="32"/>
          <w:szCs w:val="32"/>
          <w:lang w:eastAsia="zh-CN"/>
        </w:rPr>
        <w:t>，总销售额为632元，现场提供药品供货商资质证件、销售单、随货发票和批号成品检验报告书。至立案调查时，“川贝母”已售罄，当事人违法经营货值金额632元，利润182元。</w:t>
      </w:r>
    </w:p>
    <w:p w14:paraId="69F07C3A">
      <w:pPr>
        <w:keepNext w:val="0"/>
        <w:keepLines w:val="0"/>
        <w:pageBreakBefore w:val="0"/>
        <w:widowControl w:val="0"/>
        <w:kinsoku/>
        <w:overflowPunct/>
        <w:topLinePunct w:val="0"/>
        <w:autoSpaceDE/>
        <w:autoSpaceDN/>
        <w:bidi w:val="0"/>
        <w:adjustRightInd/>
        <w:snapToGrid/>
        <w:spacing w:line="440" w:lineRule="exact"/>
        <w:ind w:firstLine="640" w:firstLineChars="200"/>
        <w:jc w:val="left"/>
        <w:textAlignment w:val="auto"/>
        <w:rPr>
          <w:rFonts w:hint="eastAsia" w:ascii="仿宋_GB2312" w:hAnsi="仿宋" w:eastAsia="仿宋_GB2312" w:cs="仿宋_GB2312"/>
          <w:color w:val="000000"/>
          <w:sz w:val="32"/>
          <w:szCs w:val="32"/>
        </w:rPr>
      </w:pPr>
      <w:r>
        <w:rPr>
          <w:rFonts w:hint="eastAsia" w:ascii="仿宋_GB2312" w:hAnsi="仿宋" w:eastAsia="仿宋_GB2312" w:cs="仿宋_GB2312"/>
          <w:color w:val="000000"/>
          <w:sz w:val="32"/>
          <w:szCs w:val="32"/>
          <w:lang w:eastAsia="zh-CN"/>
        </w:rPr>
        <w:t>上述“川贝母”（批号：221201）根据通报函附件中国食品药品检定研究院检验报告（报告编号：ZF202418778），显示：检验项目“性状”的检验结果为：本品部分样品呈扁球形，外层鳞叶2瓣，大小相近，相对抱合，顶部开裂，气微，味微苦；部分样品扁球形，外层鳞叶2瓣，大小相近，顶部紧靠而尖,味另有部分样品类圆柱形，下部或中下部稍有缩缢，底部不平；其余为破碎鳞叶(不符合规定)。检验项目“鉴别”项“（3）聚合酶链式反应-限制性内切酶长度多态性方法”的检验结果与标准规定一致，检验结论为“供试品凝胶电泳图谱中，在与对照药材凝胶电泳图谱相应的位置上，在100~250bp可见两条DNA条带，空白对照无条带”，综上认定该涉案药品属于符合《中华人民共和国药品管理法》第九十八条第三款第（七）项“其他不符合药品标准的药品”情形的劣药。</w:t>
      </w:r>
    </w:p>
    <w:p w14:paraId="125FC7C9">
      <w:pPr>
        <w:keepNext w:val="0"/>
        <w:keepLines w:val="0"/>
        <w:pageBreakBefore w:val="0"/>
        <w:widowControl w:val="0"/>
        <w:kinsoku/>
        <w:overflowPunct/>
        <w:topLinePunct w:val="0"/>
        <w:autoSpaceDE/>
        <w:autoSpaceDN/>
        <w:bidi w:val="0"/>
        <w:adjustRightInd/>
        <w:snapToGrid/>
        <w:spacing w:line="440" w:lineRule="exact"/>
        <w:ind w:firstLine="640" w:firstLineChars="200"/>
        <w:jc w:val="left"/>
        <w:textAlignment w:val="auto"/>
        <w:rPr>
          <w:rFonts w:hint="eastAsia" w:ascii="仿宋_GB2312" w:hAnsi="仿宋" w:eastAsia="仿宋_GB2312" w:cs="仿宋_GB2312"/>
          <w:color w:val="000000"/>
          <w:sz w:val="32"/>
          <w:szCs w:val="32"/>
        </w:rPr>
      </w:pPr>
      <w:r>
        <w:rPr>
          <w:rFonts w:hint="eastAsia" w:ascii="仿宋_GB2312" w:hAnsi="仿宋" w:eastAsia="仿宋_GB2312" w:cs="仿宋_GB2312"/>
          <w:color w:val="000000"/>
          <w:sz w:val="32"/>
          <w:szCs w:val="32"/>
          <w:lang w:eastAsia="zh-CN"/>
        </w:rPr>
        <w:t>上述</w:t>
      </w:r>
      <w:r>
        <w:rPr>
          <w:rFonts w:hint="eastAsia" w:ascii="仿宋_GB2312" w:hAnsi="仿宋" w:eastAsia="仿宋_GB2312" w:cs="仿宋_GB2312"/>
          <w:color w:val="000000"/>
          <w:sz w:val="32"/>
          <w:szCs w:val="32"/>
        </w:rPr>
        <w:t>事实，</w:t>
      </w:r>
      <w:r>
        <w:rPr>
          <w:rFonts w:hint="eastAsia" w:ascii="仿宋_GB2312" w:hAnsi="仿宋" w:eastAsia="仿宋_GB2312" w:cs="仿宋_GB2312"/>
          <w:color w:val="000000"/>
          <w:sz w:val="32"/>
          <w:szCs w:val="32"/>
          <w:lang w:eastAsia="zh-CN"/>
        </w:rPr>
        <w:t>主要有以下证据证明：案件协查及线索通报函、</w:t>
      </w:r>
      <w:r>
        <w:rPr>
          <w:rFonts w:hint="eastAsia" w:ascii="仿宋_GB2312" w:hAnsi="仿宋" w:eastAsia="仿宋_GB2312" w:cs="仿宋_GB2312"/>
          <w:color w:val="000000"/>
          <w:sz w:val="32"/>
          <w:szCs w:val="32"/>
        </w:rPr>
        <w:t>现场笔录及照片、询问笔录、</w:t>
      </w:r>
      <w:r>
        <w:rPr>
          <w:rFonts w:hint="eastAsia" w:ascii="仿宋_GB2312" w:hAnsi="仿宋" w:eastAsia="仿宋_GB2312" w:cs="仿宋_GB2312"/>
          <w:color w:val="000000"/>
          <w:sz w:val="32"/>
          <w:szCs w:val="32"/>
          <w:lang w:eastAsia="zh-CN"/>
        </w:rPr>
        <w:t>计算机系统记录数据、</w:t>
      </w:r>
      <w:r>
        <w:rPr>
          <w:rFonts w:hint="eastAsia" w:ascii="仿宋_GB2312" w:hAnsi="仿宋" w:eastAsia="仿宋_GB2312" w:cs="仿宋_GB2312"/>
          <w:color w:val="000000"/>
          <w:sz w:val="32"/>
          <w:szCs w:val="32"/>
        </w:rPr>
        <w:t>当事人营业执照、</w:t>
      </w:r>
      <w:r>
        <w:rPr>
          <w:rFonts w:hint="eastAsia" w:ascii="仿宋_GB2312" w:hAnsi="仿宋" w:eastAsia="仿宋_GB2312" w:cs="仿宋_GB2312"/>
          <w:color w:val="000000"/>
          <w:sz w:val="32"/>
          <w:szCs w:val="32"/>
          <w:lang w:eastAsia="zh-CN"/>
        </w:rPr>
        <w:t>药品</w:t>
      </w:r>
      <w:r>
        <w:rPr>
          <w:rFonts w:hint="eastAsia" w:ascii="仿宋_GB2312" w:hAnsi="仿宋" w:eastAsia="仿宋_GB2312" w:cs="仿宋_GB2312"/>
          <w:color w:val="000000"/>
          <w:sz w:val="32"/>
          <w:szCs w:val="32"/>
        </w:rPr>
        <w:t>经营许可证</w:t>
      </w:r>
      <w:r>
        <w:rPr>
          <w:rFonts w:hint="eastAsia" w:ascii="仿宋_GB2312" w:hAnsi="仿宋" w:eastAsia="仿宋_GB2312" w:cs="仿宋_GB2312"/>
          <w:color w:val="000000"/>
          <w:sz w:val="32"/>
          <w:szCs w:val="32"/>
          <w:lang w:eastAsia="zh-CN"/>
        </w:rPr>
        <w:t>及</w:t>
      </w:r>
      <w:r>
        <w:rPr>
          <w:rFonts w:hint="eastAsia" w:ascii="仿宋_GB2312" w:hAnsi="仿宋" w:eastAsia="仿宋_GB2312" w:cs="仿宋_GB2312"/>
          <w:color w:val="000000"/>
          <w:sz w:val="32"/>
          <w:szCs w:val="32"/>
        </w:rPr>
        <w:t>法定代表人身份证复印件</w:t>
      </w:r>
      <w:r>
        <w:rPr>
          <w:rFonts w:hint="eastAsia" w:ascii="仿宋_GB2312" w:hAnsi="仿宋" w:eastAsia="仿宋_GB2312" w:cs="仿宋_GB2312"/>
          <w:color w:val="000000"/>
          <w:sz w:val="32"/>
          <w:szCs w:val="32"/>
          <w:lang w:eastAsia="zh-CN"/>
        </w:rPr>
        <w:t>、供货商资质证件、销售单、随货发票及批号药品成品检验报告书等</w:t>
      </w:r>
      <w:r>
        <w:rPr>
          <w:rFonts w:hint="eastAsia" w:ascii="仿宋_GB2312" w:hAnsi="仿宋" w:eastAsia="仿宋_GB2312" w:cs="仿宋_GB2312"/>
          <w:color w:val="000000"/>
          <w:sz w:val="32"/>
          <w:szCs w:val="32"/>
        </w:rPr>
        <w:t>复印件。</w:t>
      </w:r>
    </w:p>
    <w:p w14:paraId="0204AEE2">
      <w:pPr>
        <w:keepNext w:val="0"/>
        <w:keepLines w:val="0"/>
        <w:pageBreakBefore w:val="0"/>
        <w:widowControl w:val="0"/>
        <w:kinsoku/>
        <w:overflowPunct/>
        <w:topLinePunct w:val="0"/>
        <w:autoSpaceDE/>
        <w:autoSpaceDN/>
        <w:bidi w:val="0"/>
        <w:adjustRightInd/>
        <w:snapToGrid/>
        <w:spacing w:line="440" w:lineRule="exact"/>
        <w:ind w:firstLine="640" w:firstLineChars="200"/>
        <w:jc w:val="left"/>
        <w:textAlignment w:val="auto"/>
        <w:rPr>
          <w:rFonts w:hint="eastAsia" w:ascii="仿宋_GB2312" w:hAnsi="仿宋" w:eastAsia="仿宋_GB2312" w:cs="仿宋_GB2312"/>
          <w:color w:val="000000"/>
          <w:sz w:val="32"/>
          <w:szCs w:val="32"/>
        </w:rPr>
      </w:pPr>
      <w:r>
        <w:rPr>
          <w:rFonts w:hint="eastAsia" w:ascii="仿宋_GB2312" w:hAnsi="仿宋" w:eastAsia="仿宋_GB2312" w:cs="仿宋_GB2312"/>
          <w:color w:val="000000"/>
          <w:sz w:val="32"/>
          <w:szCs w:val="32"/>
          <w:lang w:eastAsia="zh-CN"/>
        </w:rPr>
        <w:t>2026年5月14日</w:t>
      </w:r>
      <w:r>
        <w:rPr>
          <w:rFonts w:hint="eastAsia" w:ascii="仿宋_GB2312" w:hAnsi="仿宋" w:eastAsia="仿宋_GB2312" w:cs="仿宋_GB2312"/>
          <w:color w:val="000000"/>
          <w:sz w:val="32"/>
          <w:szCs w:val="32"/>
        </w:rPr>
        <w:t>，本局向当事人送达了晋市监</w:t>
      </w:r>
      <w:r>
        <w:rPr>
          <w:rFonts w:hint="eastAsia" w:ascii="仿宋_GB2312" w:hAnsi="仿宋" w:eastAsia="仿宋_GB2312" w:cs="仿宋_GB2312"/>
          <w:color w:val="000000"/>
          <w:sz w:val="32"/>
          <w:szCs w:val="32"/>
          <w:lang w:eastAsia="zh-CN"/>
        </w:rPr>
        <w:t>罚</w:t>
      </w:r>
      <w:r>
        <w:rPr>
          <w:rFonts w:hint="eastAsia" w:ascii="仿宋_GB2312" w:hAnsi="仿宋" w:eastAsia="仿宋_GB2312" w:cs="仿宋_GB2312"/>
          <w:color w:val="000000"/>
          <w:sz w:val="32"/>
          <w:szCs w:val="32"/>
        </w:rPr>
        <w:t>告</w:t>
      </w:r>
      <w:r>
        <w:rPr>
          <w:rFonts w:hint="eastAsia" w:ascii="仿宋_GB2312" w:hAnsi="仿宋" w:eastAsia="仿宋_GB2312" w:cs="仿宋_GB2312"/>
          <w:color w:val="000000"/>
          <w:sz w:val="32"/>
          <w:szCs w:val="32"/>
          <w:lang w:eastAsia="zh-CN"/>
        </w:rPr>
        <w:t>（</w:t>
      </w:r>
      <w:r>
        <w:rPr>
          <w:rFonts w:hint="eastAsia" w:ascii="仿宋_GB2312" w:hAnsi="仿宋" w:eastAsia="仿宋_GB2312" w:cs="仿宋_GB2312"/>
          <w:color w:val="000000"/>
          <w:sz w:val="32"/>
          <w:szCs w:val="32"/>
          <w:lang w:val="en-US" w:eastAsia="zh-CN"/>
        </w:rPr>
        <w:t>2026</w:t>
      </w:r>
      <w:r>
        <w:rPr>
          <w:rFonts w:hint="eastAsia" w:ascii="仿宋_GB2312" w:hAnsi="仿宋" w:eastAsia="仿宋_GB2312" w:cs="仿宋_GB2312"/>
          <w:color w:val="000000"/>
          <w:sz w:val="32"/>
          <w:szCs w:val="32"/>
          <w:lang w:eastAsia="zh-CN"/>
        </w:rPr>
        <w:t>）</w:t>
      </w:r>
      <w:r>
        <w:rPr>
          <w:rFonts w:hint="eastAsia" w:ascii="仿宋_GB2312" w:hAnsi="仿宋" w:eastAsia="仿宋_GB2312" w:cs="仿宋_GB2312"/>
          <w:color w:val="000000"/>
          <w:sz w:val="32"/>
          <w:szCs w:val="32"/>
          <w:lang w:val="en-US" w:eastAsia="zh-CN"/>
        </w:rPr>
        <w:t>2</w:t>
      </w:r>
      <w:r>
        <w:rPr>
          <w:rFonts w:hint="eastAsia" w:ascii="仿宋_GB2312" w:hAnsi="仿宋" w:eastAsia="仿宋_GB2312" w:cs="仿宋_GB2312"/>
          <w:color w:val="000000"/>
          <w:sz w:val="32"/>
          <w:szCs w:val="32"/>
        </w:rPr>
        <w:t>1-</w:t>
      </w:r>
      <w:r>
        <w:rPr>
          <w:rFonts w:hint="eastAsia" w:ascii="仿宋_GB2312" w:hAnsi="仿宋" w:eastAsia="仿宋_GB2312" w:cs="仿宋_GB2312"/>
          <w:color w:val="000000"/>
          <w:sz w:val="32"/>
          <w:szCs w:val="32"/>
          <w:lang w:val="en-US" w:eastAsia="zh-CN"/>
        </w:rPr>
        <w:t>15</w:t>
      </w:r>
      <w:r>
        <w:rPr>
          <w:rFonts w:hint="eastAsia" w:ascii="仿宋_GB2312" w:hAnsi="仿宋" w:eastAsia="仿宋_GB2312" w:cs="仿宋_GB2312"/>
          <w:color w:val="000000"/>
          <w:sz w:val="32"/>
          <w:szCs w:val="32"/>
        </w:rPr>
        <w:t>号《行政处罚告知书》，当事人在法定期限内未提出陈述、申辩要求。</w:t>
      </w:r>
    </w:p>
    <w:p w14:paraId="41982776">
      <w:pPr>
        <w:keepNext w:val="0"/>
        <w:keepLines w:val="0"/>
        <w:pageBreakBefore w:val="0"/>
        <w:widowControl w:val="0"/>
        <w:kinsoku/>
        <w:overflowPunct/>
        <w:topLinePunct w:val="0"/>
        <w:autoSpaceDE/>
        <w:autoSpaceDN/>
        <w:bidi w:val="0"/>
        <w:adjustRightInd/>
        <w:snapToGrid/>
        <w:spacing w:line="440" w:lineRule="exact"/>
        <w:ind w:firstLine="640" w:firstLineChars="200"/>
        <w:jc w:val="left"/>
        <w:textAlignment w:val="auto"/>
        <w:rPr>
          <w:rFonts w:hint="eastAsia" w:ascii="仿宋_GB2312" w:hAnsi="仿宋" w:eastAsia="仿宋_GB2312" w:cs="仿宋_GB2312"/>
          <w:color w:val="000000"/>
          <w:sz w:val="32"/>
          <w:szCs w:val="32"/>
        </w:rPr>
      </w:pPr>
      <w:r>
        <w:rPr>
          <w:rFonts w:hint="eastAsia" w:ascii="仿宋_GB2312" w:hAnsi="仿宋" w:eastAsia="仿宋_GB2312" w:cs="仿宋_GB2312"/>
          <w:color w:val="000000"/>
          <w:sz w:val="32"/>
          <w:szCs w:val="32"/>
        </w:rPr>
        <w:t>本局认为：当事人销售劣药行为事实清楚，但药品经营企业未违反</w:t>
      </w:r>
      <w:r>
        <w:rPr>
          <w:rFonts w:hint="eastAsia" w:ascii="仿宋_GB2312" w:hAnsi="仿宋" w:eastAsia="仿宋_GB2312" w:cs="仿宋_GB2312"/>
          <w:color w:val="000000"/>
          <w:sz w:val="32"/>
          <w:szCs w:val="32"/>
          <w:lang w:eastAsia="zh-CN"/>
        </w:rPr>
        <w:t>《中华人民共和国药品管理法》</w:t>
      </w:r>
      <w:r>
        <w:rPr>
          <w:rFonts w:hint="eastAsia" w:ascii="仿宋_GB2312" w:hAnsi="仿宋" w:eastAsia="仿宋_GB2312" w:cs="仿宋_GB2312"/>
          <w:color w:val="000000"/>
          <w:sz w:val="32"/>
          <w:szCs w:val="32"/>
        </w:rPr>
        <w:t>和《</w:t>
      </w:r>
      <w:r>
        <w:rPr>
          <w:rFonts w:hint="eastAsia" w:ascii="仿宋_GB2312" w:hAnsi="仿宋" w:eastAsia="仿宋_GB2312" w:cs="仿宋_GB2312"/>
          <w:color w:val="000000"/>
          <w:sz w:val="32"/>
          <w:szCs w:val="32"/>
          <w:lang w:eastAsia="zh-CN"/>
        </w:rPr>
        <w:t>中华人民共和国药品管理法实施条例</w:t>
      </w:r>
      <w:r>
        <w:rPr>
          <w:rFonts w:hint="eastAsia" w:ascii="仿宋_GB2312" w:hAnsi="仿宋" w:eastAsia="仿宋_GB2312" w:cs="仿宋_GB2312"/>
          <w:color w:val="000000"/>
          <w:sz w:val="32"/>
          <w:szCs w:val="32"/>
        </w:rPr>
        <w:t>》的有关规定，并有充分证据证明其不知道所销售或者使用的药品是劣药</w:t>
      </w:r>
      <w:r>
        <w:rPr>
          <w:rFonts w:hint="eastAsia" w:ascii="仿宋_GB2312" w:hAnsi="仿宋" w:eastAsia="仿宋_GB2312" w:cs="仿宋_GB2312"/>
          <w:color w:val="000000"/>
          <w:sz w:val="32"/>
          <w:szCs w:val="32"/>
          <w:lang w:eastAsia="zh-CN"/>
        </w:rPr>
        <w:t>，</w:t>
      </w:r>
      <w:r>
        <w:rPr>
          <w:rFonts w:hint="eastAsia" w:ascii="仿宋_GB2312" w:hAnsi="仿宋" w:eastAsia="仿宋_GB2312" w:cs="仿宋_GB2312"/>
          <w:color w:val="000000"/>
          <w:sz w:val="32"/>
          <w:szCs w:val="32"/>
        </w:rPr>
        <w:t>依据《中华人民共和国行政处罚法》第二十八条第一款的规定，责令当事人改正上述违法行为，依据《中华人民共和国药品管理法实施条例》第七十五条规定，作出行政处罚如下：</w:t>
      </w:r>
    </w:p>
    <w:p w14:paraId="76D3E744">
      <w:pPr>
        <w:keepNext w:val="0"/>
        <w:keepLines w:val="0"/>
        <w:pageBreakBefore w:val="0"/>
        <w:widowControl w:val="0"/>
        <w:numPr>
          <w:ilvl w:val="0"/>
          <w:numId w:val="0"/>
        </w:numPr>
        <w:kinsoku/>
        <w:overflowPunct/>
        <w:topLinePunct w:val="0"/>
        <w:autoSpaceDE/>
        <w:autoSpaceDN/>
        <w:bidi w:val="0"/>
        <w:adjustRightInd/>
        <w:snapToGrid/>
        <w:spacing w:line="440" w:lineRule="exact"/>
        <w:ind w:firstLine="640" w:firstLineChars="200"/>
        <w:jc w:val="left"/>
        <w:textAlignment w:val="auto"/>
        <w:rPr>
          <w:rFonts w:hint="eastAsia" w:ascii="仿宋_GB2312" w:hAnsi="仿宋" w:eastAsia="仿宋_GB2312" w:cs="仿宋_GB2312"/>
          <w:color w:val="000000"/>
          <w:sz w:val="32"/>
          <w:szCs w:val="32"/>
        </w:rPr>
      </w:pPr>
      <w:r>
        <w:rPr>
          <w:rFonts w:hint="eastAsia" w:ascii="仿宋_GB2312" w:hAnsi="仿宋" w:eastAsia="仿宋_GB2312" w:cs="仿宋_GB2312"/>
          <w:color w:val="000000"/>
          <w:sz w:val="32"/>
          <w:szCs w:val="32"/>
        </w:rPr>
        <w:t xml:space="preserve">没收违法所得182元。 </w:t>
      </w:r>
    </w:p>
    <w:p w14:paraId="1377BB26">
      <w:pPr>
        <w:keepNext w:val="0"/>
        <w:keepLines w:val="0"/>
        <w:pageBreakBefore w:val="0"/>
        <w:widowControl w:val="0"/>
        <w:kinsoku/>
        <w:overflowPunct/>
        <w:topLinePunct w:val="0"/>
        <w:autoSpaceDE/>
        <w:autoSpaceDN/>
        <w:bidi w:val="0"/>
        <w:adjustRightInd/>
        <w:snapToGrid/>
        <w:spacing w:line="440" w:lineRule="exact"/>
        <w:ind w:firstLine="640" w:firstLineChars="200"/>
        <w:jc w:val="left"/>
        <w:textAlignment w:val="auto"/>
        <w:rPr>
          <w:rFonts w:hint="eastAsia" w:ascii="仿宋_GB2312" w:hAnsi="仿宋" w:eastAsia="仿宋_GB2312" w:cs="仿宋_GB2312"/>
          <w:color w:val="000000"/>
          <w:sz w:val="32"/>
          <w:szCs w:val="32"/>
        </w:rPr>
      </w:pPr>
      <w:r>
        <w:rPr>
          <w:rFonts w:hint="eastAsia" w:ascii="仿宋_GB2312" w:hAnsi="仿宋" w:eastAsia="仿宋_GB2312" w:cs="仿宋_GB2312"/>
          <w:color w:val="000000"/>
          <w:sz w:val="32"/>
          <w:szCs w:val="32"/>
        </w:rPr>
        <w:t>当事人应当</w:t>
      </w:r>
      <w:r>
        <w:rPr>
          <w:rFonts w:hint="eastAsia" w:ascii="仿宋_GB2312" w:hAnsi="仿宋" w:eastAsia="仿宋_GB2312" w:cs="仿宋_GB2312"/>
          <w:color w:val="000000"/>
          <w:sz w:val="32"/>
          <w:szCs w:val="32"/>
          <w:lang w:eastAsia="zh-CN"/>
        </w:rPr>
        <w:t>在接</w:t>
      </w:r>
      <w:r>
        <w:rPr>
          <w:rFonts w:hint="eastAsia" w:ascii="仿宋_GB2312" w:hAnsi="仿宋" w:eastAsia="仿宋_GB2312" w:cs="仿宋_GB2312"/>
          <w:color w:val="000000"/>
          <w:sz w:val="32"/>
          <w:szCs w:val="32"/>
        </w:rPr>
        <w:t>到本</w:t>
      </w:r>
      <w:r>
        <w:rPr>
          <w:rFonts w:hint="eastAsia" w:ascii="仿宋_GB2312" w:hAnsi="仿宋" w:eastAsia="仿宋_GB2312" w:cs="仿宋_GB2312"/>
          <w:color w:val="000000"/>
          <w:sz w:val="32"/>
          <w:szCs w:val="32"/>
          <w:lang w:eastAsia="zh-CN"/>
        </w:rPr>
        <w:t>行政处罚</w:t>
      </w:r>
      <w:r>
        <w:rPr>
          <w:rFonts w:hint="eastAsia" w:ascii="仿宋_GB2312" w:hAnsi="仿宋" w:eastAsia="仿宋_GB2312" w:cs="仿宋_GB2312"/>
          <w:color w:val="000000"/>
          <w:sz w:val="32"/>
          <w:szCs w:val="32"/>
        </w:rPr>
        <w:t>决定书之日起十五日内，</w:t>
      </w:r>
      <w:r>
        <w:rPr>
          <w:rFonts w:hint="eastAsia" w:ascii="仿宋_GB2312" w:hAnsi="仿宋" w:eastAsia="仿宋_GB2312" w:cs="仿宋_GB2312"/>
          <w:color w:val="000000"/>
          <w:sz w:val="32"/>
          <w:szCs w:val="32"/>
          <w:lang w:eastAsia="zh-CN"/>
        </w:rPr>
        <w:t>凭</w:t>
      </w:r>
      <w:r>
        <w:rPr>
          <w:rFonts w:hint="eastAsia" w:ascii="仿宋_GB2312" w:hAnsi="仿宋" w:eastAsia="仿宋_GB2312" w:cs="仿宋_GB2312"/>
          <w:color w:val="000000"/>
          <w:sz w:val="32"/>
          <w:szCs w:val="32"/>
        </w:rPr>
        <w:t>福建省政府非税收入缴款通知书（缴款码）通过银行网点或电子支付系统缴款，当事人逾期不履行行政处罚决定的，本局将依据《中华人民共和国行政处罚法》第七十二条的规定，采取下列措施：（一）到期不缴纳罚款的，每日按罚款数额的百分之三加处罚款</w:t>
      </w:r>
      <w:r>
        <w:rPr>
          <w:rFonts w:hint="eastAsia" w:ascii="仿宋_GB2312" w:hAnsi="仿宋" w:eastAsia="仿宋_GB2312" w:cs="仿宋_GB2312"/>
          <w:color w:val="000000"/>
          <w:sz w:val="32"/>
          <w:szCs w:val="32"/>
          <w:lang w:eastAsia="zh-CN"/>
        </w:rPr>
        <w:t>，加处罚款的数额不得超出罚款的数额</w:t>
      </w:r>
      <w:r>
        <w:rPr>
          <w:rFonts w:hint="eastAsia" w:ascii="仿宋_GB2312" w:hAnsi="仿宋" w:eastAsia="仿宋_GB2312" w:cs="仿宋_GB2312"/>
          <w:color w:val="000000"/>
          <w:sz w:val="32"/>
          <w:szCs w:val="32"/>
        </w:rPr>
        <w:t>；（二）根据法律规定，将查封、扣押的</w:t>
      </w:r>
      <w:r>
        <w:rPr>
          <w:rFonts w:hint="eastAsia" w:ascii="仿宋_GB2312" w:hAnsi="仿宋" w:eastAsia="仿宋_GB2312" w:cs="仿宋_GB2312"/>
          <w:color w:val="000000"/>
          <w:sz w:val="32"/>
          <w:szCs w:val="32"/>
          <w:lang w:eastAsia="zh-CN"/>
        </w:rPr>
        <w:t>财物</w:t>
      </w:r>
      <w:r>
        <w:rPr>
          <w:rFonts w:hint="eastAsia" w:ascii="仿宋_GB2312" w:hAnsi="仿宋" w:eastAsia="仿宋_GB2312" w:cs="仿宋_GB2312"/>
          <w:color w:val="000000"/>
          <w:sz w:val="32"/>
          <w:szCs w:val="32"/>
        </w:rPr>
        <w:t>拍卖、</w:t>
      </w:r>
      <w:r>
        <w:rPr>
          <w:rFonts w:hint="eastAsia" w:ascii="仿宋_GB2312" w:hAnsi="仿宋" w:eastAsia="仿宋_GB2312" w:cs="仿宋_GB2312"/>
          <w:color w:val="000000"/>
          <w:sz w:val="32"/>
          <w:szCs w:val="32"/>
          <w:lang w:eastAsia="zh-CN"/>
        </w:rPr>
        <w:t>依法处理或者将冻结的存款、回款</w:t>
      </w:r>
      <w:r>
        <w:rPr>
          <w:rFonts w:hint="eastAsia" w:ascii="仿宋_GB2312" w:hAnsi="仿宋" w:eastAsia="仿宋_GB2312" w:cs="仿宋_GB2312"/>
          <w:color w:val="000000"/>
          <w:sz w:val="32"/>
          <w:szCs w:val="32"/>
        </w:rPr>
        <w:t>划拨抵缴罚款；（三）</w:t>
      </w:r>
      <w:r>
        <w:rPr>
          <w:rFonts w:hint="eastAsia" w:ascii="仿宋_GB2312" w:hAnsi="仿宋" w:eastAsia="仿宋_GB2312" w:cs="仿宋_GB2312"/>
          <w:color w:val="000000"/>
          <w:sz w:val="32"/>
          <w:szCs w:val="32"/>
          <w:lang w:eastAsia="zh-CN"/>
        </w:rPr>
        <w:t>根据法律规定，采取其他行政强制执行方式；（四）依据《中华人民共和国行政强制法》的规定</w:t>
      </w:r>
      <w:r>
        <w:rPr>
          <w:rFonts w:hint="eastAsia" w:ascii="仿宋_GB2312" w:hAnsi="仿宋" w:eastAsia="仿宋_GB2312" w:cs="仿宋_GB2312"/>
          <w:color w:val="000000"/>
          <w:sz w:val="32"/>
          <w:szCs w:val="32"/>
        </w:rPr>
        <w:t>申请</w:t>
      </w:r>
      <w:r>
        <w:rPr>
          <w:rFonts w:hint="eastAsia" w:ascii="仿宋_GB2312" w:hAnsi="仿宋" w:eastAsia="仿宋_GB2312" w:cs="仿宋_GB2312"/>
          <w:color w:val="000000"/>
          <w:sz w:val="32"/>
          <w:szCs w:val="32"/>
          <w:lang w:eastAsia="zh-CN"/>
        </w:rPr>
        <w:t>晋江市</w:t>
      </w:r>
      <w:r>
        <w:rPr>
          <w:rFonts w:hint="eastAsia" w:ascii="仿宋_GB2312" w:hAnsi="仿宋" w:eastAsia="仿宋_GB2312" w:cs="仿宋_GB2312"/>
          <w:color w:val="000000"/>
          <w:sz w:val="32"/>
          <w:szCs w:val="32"/>
        </w:rPr>
        <w:t>人民法院强制执行。</w:t>
      </w:r>
    </w:p>
    <w:p w14:paraId="6699414D">
      <w:pPr>
        <w:keepNext w:val="0"/>
        <w:keepLines w:val="0"/>
        <w:pageBreakBefore w:val="0"/>
        <w:widowControl w:val="0"/>
        <w:kinsoku/>
        <w:overflowPunct/>
        <w:topLinePunct w:val="0"/>
        <w:autoSpaceDE/>
        <w:autoSpaceDN/>
        <w:bidi w:val="0"/>
        <w:adjustRightInd/>
        <w:snapToGrid/>
        <w:spacing w:line="440" w:lineRule="exact"/>
        <w:ind w:firstLine="640" w:firstLineChars="200"/>
        <w:jc w:val="left"/>
        <w:textAlignment w:val="auto"/>
        <w:rPr>
          <w:rFonts w:ascii="仿宋_GB2312" w:hAnsi="仿宋" w:eastAsia="仿宋_GB2312" w:cs="仿宋_GB2312"/>
          <w:color w:val="000000"/>
          <w:sz w:val="32"/>
          <w:szCs w:val="32"/>
        </w:rPr>
      </w:pPr>
      <w:r>
        <w:rPr>
          <w:rFonts w:hint="eastAsia" w:ascii="仿宋_GB2312" w:hAnsi="仿宋" w:eastAsia="仿宋_GB2312" w:cs="仿宋_GB2312"/>
          <w:color w:val="000000"/>
          <w:sz w:val="32"/>
          <w:szCs w:val="32"/>
        </w:rPr>
        <w:t>如</w:t>
      </w:r>
      <w:r>
        <w:rPr>
          <w:rFonts w:hint="eastAsia" w:ascii="仿宋_GB2312" w:hAnsi="仿宋" w:eastAsia="仿宋_GB2312" w:cs="仿宋_GB2312"/>
          <w:color w:val="000000"/>
          <w:sz w:val="32"/>
          <w:szCs w:val="32"/>
          <w:lang w:eastAsia="zh-CN"/>
        </w:rPr>
        <w:t>不服</w:t>
      </w:r>
      <w:r>
        <w:rPr>
          <w:rFonts w:hint="eastAsia" w:ascii="仿宋_GB2312" w:hAnsi="仿宋" w:eastAsia="仿宋_GB2312" w:cs="仿宋_GB2312"/>
          <w:color w:val="000000"/>
          <w:sz w:val="32"/>
          <w:szCs w:val="32"/>
        </w:rPr>
        <w:t>本行政处罚决定，</w:t>
      </w:r>
      <w:r>
        <w:rPr>
          <w:rFonts w:hint="eastAsia" w:ascii="仿宋_GB2312" w:hAnsi="仿宋" w:eastAsia="仿宋_GB2312" w:cs="仿宋_GB2312"/>
          <w:color w:val="000000"/>
          <w:sz w:val="32"/>
          <w:szCs w:val="32"/>
          <w:lang w:eastAsia="zh-CN"/>
        </w:rPr>
        <w:t>可以</w:t>
      </w:r>
      <w:r>
        <w:rPr>
          <w:rFonts w:hint="eastAsia" w:ascii="仿宋_GB2312" w:hAnsi="仿宋" w:eastAsia="仿宋_GB2312" w:cs="仿宋_GB2312"/>
          <w:color w:val="000000"/>
          <w:sz w:val="32"/>
          <w:szCs w:val="32"/>
        </w:rPr>
        <w:t>在接到本行政处罚决定书之日起六十日内向晋江市人民政府申请复议，也可以</w:t>
      </w:r>
      <w:r>
        <w:rPr>
          <w:rFonts w:hint="eastAsia" w:ascii="仿宋_GB2312" w:hAnsi="仿宋" w:eastAsia="仿宋_GB2312" w:cs="仿宋_GB2312"/>
          <w:color w:val="000000"/>
          <w:sz w:val="32"/>
          <w:szCs w:val="32"/>
          <w:lang w:eastAsia="zh-CN"/>
        </w:rPr>
        <w:t>在</w:t>
      </w:r>
      <w:r>
        <w:rPr>
          <w:rFonts w:hint="eastAsia" w:ascii="仿宋_GB2312" w:hAnsi="仿宋" w:eastAsia="仿宋_GB2312" w:cs="仿宋_GB2312"/>
          <w:color w:val="000000"/>
          <w:sz w:val="32"/>
          <w:szCs w:val="32"/>
        </w:rPr>
        <w:t>六个月内依法向</w:t>
      </w:r>
      <w:r>
        <w:rPr>
          <w:rFonts w:hint="eastAsia" w:ascii="仿宋_GB2312" w:hAnsi="仿宋" w:eastAsia="仿宋_GB2312" w:cs="仿宋_GB2312"/>
          <w:color w:val="000000"/>
          <w:sz w:val="32"/>
          <w:szCs w:val="32"/>
          <w:lang w:eastAsia="zh-CN"/>
        </w:rPr>
        <w:t>洛江区</w:t>
      </w:r>
      <w:r>
        <w:rPr>
          <w:rFonts w:hint="eastAsia" w:ascii="仿宋_GB2312" w:hAnsi="仿宋" w:eastAsia="仿宋_GB2312" w:cs="仿宋_GB2312"/>
          <w:color w:val="000000"/>
          <w:sz w:val="32"/>
          <w:szCs w:val="32"/>
        </w:rPr>
        <w:t>人民法院提起行政诉讼。</w:t>
      </w:r>
      <w:r>
        <w:rPr>
          <w:rFonts w:hint="eastAsia" w:ascii="仿宋_GB2312" w:hAnsi="仿宋" w:eastAsia="仿宋_GB2312" w:cs="仿宋_GB2312"/>
          <w:color w:val="000000"/>
          <w:sz w:val="32"/>
          <w:szCs w:val="32"/>
          <w:lang w:eastAsia="zh-CN"/>
        </w:rPr>
        <w:t>申请行政复议或者提起行政诉讼期间，行政处罚不停止执行，法律、法规、规章另有规定的，从其规定。</w:t>
      </w:r>
    </w:p>
    <w:p w14:paraId="2B59B64E">
      <w:pPr>
        <w:keepNext w:val="0"/>
        <w:keepLines w:val="0"/>
        <w:pageBreakBefore w:val="0"/>
        <w:widowControl w:val="0"/>
        <w:kinsoku/>
        <w:overflowPunct/>
        <w:topLinePunct w:val="0"/>
        <w:autoSpaceDE/>
        <w:autoSpaceDN/>
        <w:bidi w:val="0"/>
        <w:adjustRightInd/>
        <w:snapToGrid/>
        <w:spacing w:line="440" w:lineRule="exact"/>
        <w:ind w:firstLine="601"/>
        <w:jc w:val="center"/>
        <w:textAlignment w:val="auto"/>
        <w:rPr>
          <w:rFonts w:hint="eastAsia" w:ascii="仿宋_GB2312" w:hAnsi="仿宋" w:eastAsia="仿宋_GB2312" w:cs="仿宋_GB2312"/>
          <w:color w:val="000000"/>
          <w:sz w:val="32"/>
          <w:szCs w:val="32"/>
        </w:rPr>
      </w:pPr>
      <w:r>
        <w:rPr>
          <w:rFonts w:ascii="仿宋_GB2312" w:hAnsi="仿宋" w:eastAsia="仿宋_GB2312" w:cs="仿宋_GB2312"/>
          <w:color w:val="000000"/>
          <w:sz w:val="32"/>
          <w:szCs w:val="32"/>
        </w:rPr>
        <w:t xml:space="preserve">                         </w:t>
      </w:r>
    </w:p>
    <w:p w14:paraId="62863598">
      <w:pPr>
        <w:keepNext w:val="0"/>
        <w:keepLines w:val="0"/>
        <w:pageBreakBefore w:val="0"/>
        <w:widowControl w:val="0"/>
        <w:kinsoku/>
        <w:overflowPunct/>
        <w:topLinePunct w:val="0"/>
        <w:autoSpaceDE/>
        <w:autoSpaceDN/>
        <w:bidi w:val="0"/>
        <w:adjustRightInd/>
        <w:snapToGrid/>
        <w:spacing w:line="440" w:lineRule="exact"/>
        <w:ind w:firstLine="601"/>
        <w:jc w:val="center"/>
        <w:textAlignment w:val="auto"/>
        <w:rPr>
          <w:rFonts w:hint="eastAsia" w:ascii="仿宋_GB2312" w:hAnsi="仿宋" w:eastAsia="仿宋_GB2312" w:cs="仿宋_GB2312"/>
          <w:color w:val="000000"/>
          <w:sz w:val="32"/>
          <w:szCs w:val="32"/>
        </w:rPr>
      </w:pPr>
    </w:p>
    <w:p w14:paraId="2C184169">
      <w:pPr>
        <w:keepNext w:val="0"/>
        <w:keepLines w:val="0"/>
        <w:pageBreakBefore w:val="0"/>
        <w:widowControl w:val="0"/>
        <w:kinsoku/>
        <w:wordWrap w:val="0"/>
        <w:overflowPunct/>
        <w:topLinePunct w:val="0"/>
        <w:autoSpaceDE/>
        <w:autoSpaceDN/>
        <w:bidi w:val="0"/>
        <w:adjustRightInd/>
        <w:snapToGrid/>
        <w:spacing w:line="440" w:lineRule="exact"/>
        <w:ind w:firstLine="601"/>
        <w:jc w:val="right"/>
        <w:textAlignment w:val="auto"/>
        <w:rPr>
          <w:rFonts w:hint="default" w:ascii="仿宋_GB2312" w:hAnsi="仿宋" w:eastAsia="仿宋_GB2312" w:cs="Times New Roman"/>
          <w:color w:val="000000"/>
          <w:sz w:val="32"/>
          <w:szCs w:val="32"/>
          <w:lang w:val="en-US" w:eastAsia="zh-CN"/>
        </w:rPr>
      </w:pPr>
      <w:r>
        <w:rPr>
          <w:rFonts w:hint="eastAsia" w:ascii="仿宋_GB2312" w:hAnsi="仿宋" w:eastAsia="仿宋_GB2312" w:cs="仿宋_GB2312"/>
          <w:color w:val="000000"/>
          <w:sz w:val="32"/>
          <w:szCs w:val="32"/>
        </w:rPr>
        <w:t xml:space="preserve">                晋江市市场监督管理局  </w:t>
      </w:r>
      <w:r>
        <w:rPr>
          <w:rFonts w:hint="eastAsia" w:ascii="仿宋_GB2312" w:hAnsi="仿宋" w:eastAsia="仿宋_GB2312" w:cs="仿宋_GB2312"/>
          <w:color w:val="000000"/>
          <w:sz w:val="32"/>
          <w:szCs w:val="32"/>
          <w:lang w:val="en-US" w:eastAsia="zh-CN"/>
        </w:rPr>
        <w:t xml:space="preserve">  </w:t>
      </w:r>
    </w:p>
    <w:p w14:paraId="46350F2D">
      <w:pPr>
        <w:keepNext w:val="0"/>
        <w:keepLines w:val="0"/>
        <w:pageBreakBefore w:val="0"/>
        <w:widowControl w:val="0"/>
        <w:kinsoku/>
        <w:overflowPunct/>
        <w:topLinePunct w:val="0"/>
        <w:autoSpaceDE/>
        <w:autoSpaceDN/>
        <w:bidi w:val="0"/>
        <w:adjustRightInd/>
        <w:snapToGrid/>
        <w:spacing w:line="440" w:lineRule="exact"/>
        <w:jc w:val="center"/>
        <w:textAlignment w:val="auto"/>
        <w:rPr>
          <w:rFonts w:hint="eastAsia" w:ascii="仿宋_GB2312" w:hAnsi="仿宋" w:eastAsia="仿宋_GB2312" w:cs="仿宋_GB2312"/>
          <w:color w:val="000000"/>
          <w:sz w:val="32"/>
          <w:szCs w:val="32"/>
        </w:rPr>
      </w:pPr>
      <w:r>
        <w:rPr>
          <w:rFonts w:ascii="仿宋_GB2312" w:hAnsi="仿宋" w:eastAsia="仿宋_GB2312" w:cs="仿宋_GB2312"/>
          <w:color w:val="000000"/>
          <w:sz w:val="32"/>
          <w:szCs w:val="32"/>
        </w:rPr>
        <w:t xml:space="preserve">                      </w:t>
      </w:r>
      <w:bookmarkStart w:id="0" w:name="_GoBack"/>
      <w:bookmarkEnd w:id="0"/>
      <w:r>
        <w:rPr>
          <w:rFonts w:ascii="仿宋_GB2312" w:hAnsi="仿宋" w:eastAsia="仿宋_GB2312" w:cs="仿宋_GB2312"/>
          <w:color w:val="000000"/>
          <w:sz w:val="32"/>
          <w:szCs w:val="32"/>
        </w:rPr>
        <w:t xml:space="preserve">  </w:t>
      </w:r>
      <w:r>
        <w:rPr>
          <w:rFonts w:hint="eastAsia" w:ascii="仿宋_GB2312" w:hAnsi="仿宋" w:eastAsia="仿宋_GB2312" w:cs="仿宋_GB2312"/>
          <w:color w:val="000000"/>
          <w:sz w:val="32"/>
          <w:szCs w:val="32"/>
        </w:rPr>
        <w:t xml:space="preserve">      二〇</w:t>
      </w:r>
      <w:r>
        <w:rPr>
          <w:rFonts w:hint="eastAsia" w:ascii="仿宋_GB2312" w:hAnsi="仿宋" w:eastAsia="仿宋_GB2312" w:cs="仿宋_GB2312"/>
          <w:color w:val="000000"/>
          <w:sz w:val="32"/>
          <w:szCs w:val="32"/>
          <w:lang w:eastAsia="zh-CN"/>
        </w:rPr>
        <w:t>二六</w:t>
      </w:r>
      <w:r>
        <w:rPr>
          <w:rFonts w:hint="eastAsia" w:ascii="仿宋_GB2312" w:hAnsi="仿宋" w:eastAsia="仿宋_GB2312" w:cs="仿宋_GB2312"/>
          <w:color w:val="000000"/>
          <w:sz w:val="32"/>
          <w:szCs w:val="32"/>
        </w:rPr>
        <w:t>年</w:t>
      </w:r>
      <w:r>
        <w:rPr>
          <w:rFonts w:hint="eastAsia" w:ascii="仿宋_GB2312" w:hAnsi="仿宋" w:eastAsia="仿宋_GB2312" w:cs="仿宋_GB2312"/>
          <w:color w:val="000000"/>
          <w:sz w:val="32"/>
          <w:szCs w:val="32"/>
          <w:lang w:eastAsia="zh-CN"/>
        </w:rPr>
        <w:t>五</w:t>
      </w:r>
      <w:r>
        <w:rPr>
          <w:rFonts w:hint="eastAsia" w:ascii="仿宋_GB2312" w:hAnsi="仿宋" w:eastAsia="仿宋_GB2312" w:cs="仿宋_GB2312"/>
          <w:color w:val="000000"/>
          <w:sz w:val="32"/>
          <w:szCs w:val="32"/>
        </w:rPr>
        <w:t>月</w:t>
      </w:r>
      <w:r>
        <w:rPr>
          <w:rFonts w:hint="eastAsia" w:ascii="仿宋_GB2312" w:hAnsi="仿宋" w:eastAsia="仿宋_GB2312" w:cs="仿宋_GB2312"/>
          <w:color w:val="000000"/>
          <w:sz w:val="32"/>
          <w:szCs w:val="32"/>
          <w:lang w:eastAsia="zh-CN"/>
        </w:rPr>
        <w:t>二十二</w:t>
      </w:r>
      <w:r>
        <w:rPr>
          <w:rFonts w:hint="eastAsia" w:ascii="仿宋_GB2312" w:hAnsi="仿宋" w:eastAsia="仿宋_GB2312" w:cs="仿宋_GB2312"/>
          <w:color w:val="000000"/>
          <w:sz w:val="32"/>
          <w:szCs w:val="32"/>
        </w:rPr>
        <w:t>日</w:t>
      </w:r>
    </w:p>
    <w:p w14:paraId="31A79AF9">
      <w:pPr>
        <w:spacing w:line="500" w:lineRule="exact"/>
        <w:jc w:val="both"/>
        <w:rPr>
          <w:rFonts w:ascii="仿宋_GB2312" w:hAnsi="仿宋" w:eastAsia="仿宋_GB2312" w:cs="Times New Roman"/>
          <w:color w:val="000000"/>
          <w:sz w:val="32"/>
          <w:szCs w:val="32"/>
        </w:rPr>
      </w:pPr>
    </w:p>
    <w:p w14:paraId="423A2BFE">
      <w:pPr>
        <w:spacing w:line="500" w:lineRule="exact"/>
        <w:jc w:val="both"/>
        <w:rPr>
          <w:rFonts w:ascii="仿宋_GB2312" w:hAnsi="仿宋" w:eastAsia="仿宋_GB2312" w:cs="Times New Roman"/>
          <w:color w:val="000000"/>
          <w:sz w:val="32"/>
          <w:szCs w:val="32"/>
        </w:rPr>
      </w:pPr>
    </w:p>
    <w:p w14:paraId="2F779950">
      <w:pPr>
        <w:spacing w:line="500" w:lineRule="exact"/>
        <w:jc w:val="both"/>
        <w:rPr>
          <w:rFonts w:ascii="仿宋_GB2312" w:hAnsi="仿宋" w:eastAsia="仿宋_GB2312" w:cs="Times New Roman"/>
          <w:color w:val="000000"/>
          <w:sz w:val="32"/>
          <w:szCs w:val="32"/>
        </w:rPr>
      </w:pPr>
    </w:p>
    <w:p w14:paraId="73E2AF95">
      <w:pPr>
        <w:spacing w:line="500" w:lineRule="exact"/>
        <w:jc w:val="both"/>
        <w:rPr>
          <w:rFonts w:ascii="仿宋_GB2312" w:hAnsi="仿宋" w:eastAsia="仿宋_GB2312" w:cs="Times New Roman"/>
          <w:color w:val="000000"/>
          <w:sz w:val="32"/>
          <w:szCs w:val="32"/>
        </w:rPr>
      </w:pPr>
    </w:p>
    <w:p w14:paraId="0BF9489D">
      <w:pPr>
        <w:spacing w:line="500" w:lineRule="exact"/>
        <w:jc w:val="both"/>
        <w:rPr>
          <w:rFonts w:ascii="仿宋_GB2312" w:hAnsi="仿宋" w:eastAsia="仿宋_GB2312" w:cs="Times New Roman"/>
          <w:color w:val="000000"/>
          <w:sz w:val="32"/>
          <w:szCs w:val="32"/>
        </w:rPr>
      </w:pPr>
    </w:p>
    <w:p w14:paraId="2B4E97B3">
      <w:pPr>
        <w:spacing w:line="500" w:lineRule="exact"/>
        <w:jc w:val="both"/>
        <w:rPr>
          <w:rFonts w:ascii="仿宋_GB2312" w:hAnsi="仿宋" w:eastAsia="仿宋_GB2312" w:cs="Times New Roman"/>
          <w:color w:val="000000"/>
          <w:sz w:val="32"/>
          <w:szCs w:val="32"/>
        </w:rPr>
      </w:pPr>
    </w:p>
    <w:p w14:paraId="134A1BC9">
      <w:pPr>
        <w:spacing w:line="500" w:lineRule="exact"/>
        <w:jc w:val="both"/>
        <w:rPr>
          <w:rFonts w:ascii="仿宋_GB2312" w:hAnsi="仿宋" w:eastAsia="仿宋_GB2312" w:cs="Times New Roman"/>
          <w:color w:val="000000"/>
          <w:sz w:val="32"/>
          <w:szCs w:val="32"/>
        </w:rPr>
      </w:pPr>
    </w:p>
    <w:p w14:paraId="29611BF3">
      <w:pPr>
        <w:spacing w:line="500" w:lineRule="exact"/>
        <w:jc w:val="both"/>
        <w:rPr>
          <w:rFonts w:ascii="仿宋_GB2312" w:hAnsi="仿宋" w:eastAsia="仿宋_GB2312" w:cs="Times New Roman"/>
          <w:color w:val="000000"/>
          <w:sz w:val="32"/>
          <w:szCs w:val="32"/>
        </w:rPr>
      </w:pPr>
    </w:p>
    <w:p w14:paraId="103FBC96">
      <w:pPr>
        <w:spacing w:line="500" w:lineRule="exact"/>
        <w:jc w:val="both"/>
        <w:rPr>
          <w:rFonts w:ascii="仿宋_GB2312" w:hAnsi="仿宋" w:eastAsia="仿宋_GB2312" w:cs="Times New Roman"/>
          <w:color w:val="000000"/>
          <w:sz w:val="32"/>
          <w:szCs w:val="32"/>
        </w:rPr>
      </w:pPr>
    </w:p>
    <w:p w14:paraId="3A0E2A1E">
      <w:pPr>
        <w:spacing w:line="500" w:lineRule="exact"/>
        <w:jc w:val="both"/>
        <w:rPr>
          <w:rFonts w:ascii="仿宋_GB2312" w:hAnsi="仿宋" w:eastAsia="仿宋_GB2312" w:cs="Times New Roman"/>
          <w:color w:val="000000"/>
          <w:sz w:val="32"/>
          <w:szCs w:val="32"/>
        </w:rPr>
      </w:pPr>
    </w:p>
    <w:p w14:paraId="27059375">
      <w:pPr>
        <w:spacing w:line="500" w:lineRule="exact"/>
        <w:jc w:val="both"/>
        <w:rPr>
          <w:rFonts w:ascii="仿宋_GB2312" w:hAnsi="仿宋" w:eastAsia="仿宋_GB2312" w:cs="Times New Roman"/>
          <w:color w:val="000000"/>
          <w:sz w:val="32"/>
          <w:szCs w:val="32"/>
        </w:rPr>
      </w:pPr>
    </w:p>
    <w:p w14:paraId="18518E54">
      <w:pPr>
        <w:spacing w:line="500" w:lineRule="exact"/>
        <w:jc w:val="both"/>
        <w:rPr>
          <w:rFonts w:ascii="仿宋_GB2312" w:hAnsi="仿宋" w:eastAsia="仿宋_GB2312" w:cs="Times New Roman"/>
          <w:color w:val="000000"/>
          <w:sz w:val="32"/>
          <w:szCs w:val="32"/>
        </w:rPr>
      </w:pPr>
    </w:p>
    <w:p w14:paraId="6F70741C">
      <w:pPr>
        <w:wordWrap w:val="0"/>
        <w:snapToGrid w:val="0"/>
        <w:spacing w:line="520" w:lineRule="exact"/>
        <w:rPr>
          <w:rFonts w:ascii="仿宋_GB2312" w:hAnsi="黑体" w:eastAsia="仿宋_GB2312" w:cs="Times New Roman"/>
          <w:color w:val="000000"/>
          <w:sz w:val="32"/>
          <w:szCs w:val="32"/>
        </w:rPr>
      </w:pPr>
      <w:r>
        <w:rPr>
          <w:rFonts w:hint="eastAsia" w:ascii="仿宋_GB2312" w:hAnsi="黑体" w:eastAsia="仿宋_GB2312" w:cs="仿宋_GB2312"/>
          <w:color w:val="000000"/>
          <w:sz w:val="32"/>
          <w:szCs w:val="32"/>
        </w:rPr>
        <w:t>（</w:t>
      </w:r>
      <w:r>
        <w:rPr>
          <w:rFonts w:hint="eastAsia" w:ascii="黑体" w:hAnsi="黑体" w:eastAsia="黑体" w:cs="黑体"/>
          <w:b/>
          <w:bCs/>
          <w:color w:val="000000"/>
          <w:sz w:val="32"/>
          <w:szCs w:val="32"/>
        </w:rPr>
        <w:t>市场监督管理部门将依法向社会公示本行政处罚决定信息</w:t>
      </w:r>
      <w:r>
        <w:rPr>
          <w:rFonts w:hint="eastAsia" w:ascii="仿宋_GB2312" w:hAnsi="黑体" w:eastAsia="仿宋_GB2312" w:cs="仿宋_GB2312"/>
          <w:color w:val="000000"/>
          <w:sz w:val="32"/>
          <w:szCs w:val="32"/>
        </w:rPr>
        <w:t>）</w:t>
      </w:r>
    </w:p>
    <w:p w14:paraId="1C69C071">
      <w:pPr>
        <w:wordWrap w:val="0"/>
        <w:spacing w:line="520" w:lineRule="exact"/>
        <w:rPr>
          <w:rFonts w:ascii="仿宋_GB2312" w:hAnsi="仿宋" w:eastAsia="仿宋_GB2312" w:cs="Times New Roman"/>
          <w:color w:val="000000"/>
          <w:sz w:val="32"/>
          <w:szCs w:val="32"/>
        </w:rPr>
      </w:pPr>
      <w:r>
        <mc:AlternateContent>
          <mc:Choice Requires="wps">
            <w:drawing>
              <wp:anchor distT="0" distB="0" distL="114300" distR="114300" simplePos="0" relativeHeight="251661312" behindDoc="0" locked="0" layoutInCell="1" allowOverlap="1">
                <wp:simplePos x="0" y="0"/>
                <wp:positionH relativeFrom="column">
                  <wp:posOffset>-115570</wp:posOffset>
                </wp:positionH>
                <wp:positionV relativeFrom="paragraph">
                  <wp:posOffset>0</wp:posOffset>
                </wp:positionV>
                <wp:extent cx="5615940" cy="0"/>
                <wp:effectExtent l="0" t="0" r="0" b="0"/>
                <wp:wrapNone/>
                <wp:docPr id="3" name="直线 4"/>
                <wp:cNvGraphicFramePr/>
                <a:graphic xmlns:a="http://schemas.openxmlformats.org/drawingml/2006/main">
                  <a:graphicData uri="http://schemas.microsoft.com/office/word/2010/wordprocessingShape">
                    <wps:wsp>
                      <wps:cNvCnPr/>
                      <wps:spPr>
                        <a:xfrm flipV="1">
                          <a:off x="0" y="0"/>
                          <a:ext cx="5615940" cy="0"/>
                        </a:xfrm>
                        <a:prstGeom prst="line">
                          <a:avLst/>
                        </a:prstGeom>
                        <a:ln w="15875" cap="flat" cmpd="sng">
                          <a:solidFill>
                            <a:srgbClr val="000000"/>
                          </a:solidFill>
                          <a:prstDash val="solid"/>
                          <a:headEnd type="none" w="med" len="med"/>
                          <a:tailEnd type="none" w="med" len="med"/>
                        </a:ln>
                      </wps:spPr>
                      <wps:bodyPr upright="1"/>
                    </wps:wsp>
                  </a:graphicData>
                </a:graphic>
              </wp:anchor>
            </w:drawing>
          </mc:Choice>
          <mc:Fallback>
            <w:pict>
              <v:line id="直线 4" o:spid="_x0000_s1026" o:spt="20" style="position:absolute;left:0pt;flip:y;margin-left:-9.1pt;margin-top:0pt;height:0pt;width:442.2pt;z-index:251661312;mso-width-relative:page;mso-height-relative:page;" filled="f" stroked="t" coordsize="21600,21600" o:gfxdata="UEsDBAoAAAAAAIdO4kAAAAAAAAAAAAAAAAAEAAAAZHJzL1BLAwQUAAAACACHTuJAhEBlJtIAAAAF&#10;AQAADwAAAGRycy9kb3ducmV2LnhtbE2Py2rDMBBF94X+g5hCd4lkL4xxLQfSBxTaTeJ8wMSa2iZ6&#10;uJacpH/fyapdHu7lzpl6c3VWnGmOY/AasrUCQb4LZvS9hkP7tipBxITeoA2eNPxQhE1zf1djZcLF&#10;7+i8T73gER8r1DCkNFVSxm4gh3EdJvKcfYXZYWKce2lmvPC4szJXqpAOR88XBpzoeaDutF+chrxd&#10;1Mf2vZR2+m537esnvowRtX58yNQTiETX9FeGmz6rQ8NOx7B4E4XVsMrKnKsa+COOy6JgPN5QNrX8&#10;b9/8AlBLAwQUAAAACACHTuJA816FGvEBAADmAwAADgAAAGRycy9lMm9Eb2MueG1srVPNbhMxEL4j&#10;8Q6W72ST0pR2lU0PDeWCIFKB+8Rr71rynzxONnkWXoMTFx6nr8HYm4ZSLjnggzX2jL+Z75vx4nZv&#10;DdvJiNq7hs8mU86kE77Vrmv41y/3b645wwSuBeOdbPhBIr9dvn61GEItL3zvTSsjIxCH9RAa3qcU&#10;6qpC0UsLOPFBOnIqHy0kOsauaiMMhG5NdTGdXlWDj22IXkhEul2NTn5EjOcAeqW0kCsvtla6NKJG&#10;aSARJex1QL4s1SolRfqsFMrETMOJaSo7JSF7k/dquYC6ixB6LY4lwDklvOBkQTtKeoJaQQK2jfof&#10;KKtF9OhVmghvq5FIUYRYzKYvtHnoIcjChaTGcBId/x+s+LRbR6bbhr/lzIGlhj9+//H48xe7zNoM&#10;AWsKuXPreDxhWMdMdK+iZcro8I2GqFAnMmxflD2clJX7xARdzq9m85tLEl08+aoRIkOFiOmD9JZl&#10;o+FGu0waath9xERpKfQpJF8bxwbKOb9+Nyc8oBFU1HoybSAa6LryGL3R7b02Jj/B2G3uTGQ7yGNQ&#10;VmZHwH+F5SwrwH6MK65xQHoJ7XvXsnQIJJCjf8FzDVa2nBlJ3yhbBAh1Am3OiaTUxlEFWeBR0mxt&#10;fHugdmxD1F1PUsxKldlD7S/1Hkc1z9fzc0H68z2Xv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E&#10;QGUm0gAAAAUBAAAPAAAAAAAAAAEAIAAAACIAAABkcnMvZG93bnJldi54bWxQSwECFAAUAAAACACH&#10;TuJA816FGvEBAADmAwAADgAAAAAAAAABACAAAAAhAQAAZHJzL2Uyb0RvYy54bWxQSwUGAAAAAAYA&#10;BgBZAQAAhAUAAAAA&#10;">
                <v:fill on="f" focussize="0,0"/>
                <v:stroke weight="1.25pt" color="#000000" joinstyle="round"/>
                <v:imagedata o:title=""/>
                <o:lock v:ext="edit" aspectratio="f"/>
              </v:line>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2" name="直线 3"/>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wps:spPr>
                      <wps:bodyPr upright="1"/>
                    </wps:wsp>
                  </a:graphicData>
                </a:graphic>
              </wp:anchor>
            </w:drawing>
          </mc:Choice>
          <mc:Fallback>
            <w:pict>
              <v:line id="直线 3" o:spid="_x0000_s1026" o:spt="20" style="position:absolute;left:0pt;margin-left:0pt;margin-top:1638.35pt;height:0.1pt;width:453.75pt;z-index:251660288;mso-width-relative:page;mso-height-relative:page;" filled="f" stroked="t" coordsize="21600,21600" o:gfxdata="UEsDBAoAAAAAAIdO4kAAAAAAAAAAAAAAAAAEAAAAZHJzL1BLAwQUAAAACACHTuJAi+/zkdcAAAAK&#10;AQAADwAAAGRycy9kb3ducmV2LnhtbE2PwU7DMBBE70j8g7VI3KjdVjQ0xOkBUXHg1BQhjpt4SQLx&#10;2ordNv17jDjQ4+ysZt4Um8kO4khj6B1rmM8UCOLGmZ5bDW/77d0DiBCRDQ6OScOZAmzK66sCc+NO&#10;vKNjFVuRQjjkqKGL0edShqYji2HmPHHyPt1oMSY5ttKMeErhdpALpVbSYs+poUNPTx0139XBanh5&#10;/5J+iR97fm53k99SfX6tRq1vb+bqEUSkKf4/wy9+QocyMdXuwCaIQUMaEjUsF9kqA5H8tcruQdR/&#10;pzXIspCXE8ofUEsDBBQAAAAIAIdO4kBhd3sP7AEAANwDAAAOAAAAZHJzL2Uyb0RvYy54bWytU0uS&#10;0zAQ3VPFHVTaEyeemgy44sxiwrChYKqAA3Qk2VaVfqiVODkL12DFhuPMNWjJIQPDJgu8kFvq1ut+&#10;r1ur24M1bK8iau9avpjNOVNOeKld3/Ivn+9fveYMEzgJxjvV8qNCfrt++WI1hkbVfvBGqsgIxGEz&#10;hpYPKYWmqlAMygLOfFCOnJ2PFhJtY1/JCCOhW1PV8/myGn2UIXqhEOl0Mzn5CTFeAui7Tgu18WJn&#10;lUsTalQGElHCQQfk61Jt1ymRPnYdqsRMy4lpKislIXub12q9gqaPEAYtTiXAJSU842RBO0p6htpA&#10;AraL+h8oq0X06Ls0E95WE5GiCLFYzJ9p82mAoAoXkhrDWXT8f7Diw/4hMi1bXnPmwFLDH799f/zx&#10;k11lbcaADYXcuYd42mF4iJnooYs2/4kCOxQ9j2c91SExQYfXN8t6WV9zJsi3qG+K3NXT3RAxvVPe&#10;smy03GiX2UID+/eYKB+F/g7Jx8axseVvrpbUPAE0eviVDBuoeHR9uYneaHmvjcnxGPvtnYlsD7n5&#10;5cucCPWvsJxiAzhMccU1jcWgQL51kqVjIFkcvQaeC7BKcmYUPZ5sESA0CbS5JJJSG0cVZFknIbO1&#10;9fJITdiFqPuBdFiUKrOHml7qPQ1onqo/9wXp6VGuf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L&#10;7/OR1wAAAAoBAAAPAAAAAAAAAAEAIAAAACIAAABkcnMvZG93bnJldi54bWxQSwECFAAUAAAACACH&#10;TuJAYXd7D+wBAADcAwAADgAAAAAAAAABACAAAAAmAQAAZHJzL2Uyb0RvYy54bWxQSwUGAAAAAAYA&#10;BgBZAQAAhAUAAAAA&#10;">
                <v:fill on="f" focussize="0,0"/>
                <v:stroke weight="0.737007874015748pt" color="#000000" joinstyle="round" endcap="square"/>
                <v:imagedata o:title=""/>
                <o:lock v:ext="edit" aspectratio="f"/>
              </v:line>
            </w:pict>
          </mc:Fallback>
        </mc:AlternateContent>
      </w:r>
      <w:r>
        <w:rPr>
          <w:rFonts w:hint="eastAsia" w:ascii="仿宋_GB2312" w:hAnsi="仿宋" w:eastAsia="仿宋_GB2312" w:cs="仿宋_GB2312"/>
          <w:color w:val="000000"/>
          <w:sz w:val="32"/>
          <w:szCs w:val="32"/>
        </w:rPr>
        <w:t>本文书</w:t>
      </w:r>
      <w:r>
        <w:rPr>
          <w:rFonts w:hint="eastAsia" w:ascii="仿宋_GB2312" w:hAnsi="仿宋" w:eastAsia="仿宋_GB2312" w:cs="仿宋_GB2312"/>
          <w:color w:val="000000"/>
          <w:sz w:val="32"/>
          <w:szCs w:val="32"/>
          <w:lang w:eastAsia="zh-CN"/>
        </w:rPr>
        <w:t>一式两份，一份</w:t>
      </w:r>
      <w:r>
        <w:rPr>
          <w:rFonts w:hint="eastAsia" w:ascii="仿宋_GB2312" w:hAnsi="仿宋" w:eastAsia="仿宋_GB2312" w:cs="仿宋_GB2312"/>
          <w:color w:val="000000"/>
          <w:sz w:val="32"/>
          <w:szCs w:val="32"/>
        </w:rPr>
        <w:t>送达，一份归档。</w:t>
      </w:r>
    </w:p>
    <w:sectPr>
      <w:pgSz w:w="11906" w:h="16838"/>
      <w:pgMar w:top="1440" w:right="1418"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15E7"/>
    <w:rsid w:val="001F327B"/>
    <w:rsid w:val="00204476"/>
    <w:rsid w:val="00235707"/>
    <w:rsid w:val="00254D23"/>
    <w:rsid w:val="002C15E7"/>
    <w:rsid w:val="00401A24"/>
    <w:rsid w:val="004E4338"/>
    <w:rsid w:val="00555393"/>
    <w:rsid w:val="005F2547"/>
    <w:rsid w:val="00614BB0"/>
    <w:rsid w:val="006E5E74"/>
    <w:rsid w:val="007E3F36"/>
    <w:rsid w:val="008948D5"/>
    <w:rsid w:val="00907178"/>
    <w:rsid w:val="009A18D3"/>
    <w:rsid w:val="00BA3308"/>
    <w:rsid w:val="00BD69A7"/>
    <w:rsid w:val="00C179D8"/>
    <w:rsid w:val="00C26BA9"/>
    <w:rsid w:val="00C744AD"/>
    <w:rsid w:val="00CB07D7"/>
    <w:rsid w:val="00CD2941"/>
    <w:rsid w:val="00DB5677"/>
    <w:rsid w:val="00E97C53"/>
    <w:rsid w:val="1FF33750"/>
    <w:rsid w:val="2CA71AFA"/>
    <w:rsid w:val="32CD56E0"/>
    <w:rsid w:val="34FF0F79"/>
    <w:rsid w:val="3E944D8F"/>
    <w:rsid w:val="4C6A129E"/>
    <w:rsid w:val="6DD475AA"/>
    <w:rsid w:val="7B8F40D7"/>
    <w:rsid w:val="7DFC20B8"/>
    <w:rsid w:val="7E7E2E32"/>
    <w:rsid w:val="7EFF85A7"/>
    <w:rsid w:val="A7CAFA8C"/>
    <w:rsid w:val="EF7F201B"/>
    <w:rsid w:val="F77F4144"/>
    <w:rsid w:val="FB93F0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Balloon Text"/>
    <w:basedOn w:val="1"/>
    <w:link w:val="11"/>
    <w:semiHidden/>
    <w:unhideWhenUsed/>
    <w:qFormat/>
    <w:uiPriority w:val="99"/>
    <w:rPr>
      <w:sz w:val="18"/>
      <w:szCs w:val="18"/>
    </w:rPr>
  </w:style>
  <w:style w:type="paragraph" w:styleId="4">
    <w:name w:val="footer"/>
    <w:basedOn w:val="1"/>
    <w:link w:val="9"/>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Char"/>
    <w:basedOn w:val="7"/>
    <w:link w:val="5"/>
    <w:semiHidden/>
    <w:qFormat/>
    <w:uiPriority w:val="99"/>
    <w:rPr>
      <w:sz w:val="18"/>
      <w:szCs w:val="18"/>
    </w:rPr>
  </w:style>
  <w:style w:type="character" w:customStyle="1" w:styleId="9">
    <w:name w:val="页脚 Char"/>
    <w:basedOn w:val="7"/>
    <w:link w:val="4"/>
    <w:semiHidden/>
    <w:qFormat/>
    <w:uiPriority w:val="99"/>
    <w:rPr>
      <w:sz w:val="18"/>
      <w:szCs w:val="18"/>
    </w:rPr>
  </w:style>
  <w:style w:type="paragraph" w:styleId="10">
    <w:name w:val="List Paragraph"/>
    <w:basedOn w:val="1"/>
    <w:qFormat/>
    <w:uiPriority w:val="34"/>
    <w:pPr>
      <w:ind w:firstLine="420" w:firstLineChars="200"/>
    </w:pPr>
  </w:style>
  <w:style w:type="character" w:customStyle="1" w:styleId="11">
    <w:name w:val="批注框文本 Char"/>
    <w:basedOn w:val="7"/>
    <w:link w:val="3"/>
    <w:semiHidden/>
    <w:qFormat/>
    <w:uiPriority w:val="99"/>
    <w:rPr>
      <w:rFonts w:ascii="Calibri" w:hAnsi="Calibri" w:eastAsia="宋体" w:cs="Calibri"/>
      <w:sz w:val="18"/>
      <w:szCs w:val="18"/>
    </w:rPr>
  </w:style>
  <w:style w:type="character" w:customStyle="1" w:styleId="12">
    <w:name w:val="日期 Char"/>
    <w:basedOn w:val="7"/>
    <w:link w:val="2"/>
    <w:semiHidden/>
    <w:qFormat/>
    <w:uiPriority w:val="99"/>
    <w:rPr>
      <w:rFonts w:ascii="Calibri" w:hAnsi="Calibri" w:eastAsia="宋体" w:cs="Calibri"/>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ae6b8b9d-fb31-4655-89b8-e1821f5fe126</errorID>
      <errorWord>法人代表人</errorWord>
      <group>L1_Word</group>
      <groupName>字词问题</groupName>
      <ability>L2_Typo</ability>
      <abilityName>字词错误</abilityName>
      <candidateList>
        <item>法定代表人</item>
      </candidateList>
      <explain/>
      <paraID>63EC05A9</paraID>
      <start>0</start>
      <end>5</end>
      <status>modified</status>
      <modifiedWord>法定代表人</modifiedWord>
      <trackRevisions>false</trackRevisions>
    </reviewItem>
    <reviewItem>
      <errorID>bf07bfdf-6473-44e8-b97a-1cfeb04c0f8c</errorID>
      <errorWord>接</errorWord>
      <group>L1_Word</group>
      <groupName>字词问题</groupName>
      <ability>L2_Typo</ability>
      <abilityName>字词错误</abilityName>
      <candidateList>
        <item>接到</item>
      </candidateList>
      <explain/>
      <paraID>3D9FC9B0</paraID>
      <start>12</start>
      <end>14</end>
      <status>modified</status>
      <modifiedWord>接到</modifiedWord>
      <trackRevisions>false</trackRevisions>
    </reviewItem>
    <reviewItem>
      <errorID>299a46f7-068f-47fb-80bb-3cdc6100382b</errorID>
      <errorWord>[2026]14号</errorWord>
      <group>L1_Knowledge</group>
      <groupName>知识性问题</groupName>
      <ability>L2_Knowledge</ability>
      <abilityName>其他知识</abilityName>
      <candidateList>
        <item>〔2026〕14号</item>
      </candidateList>
      <explain>发文字号格式错误。</explain>
      <paraID>3D9FC9B0</paraID>
      <start>44</start>
      <end>53</end>
      <status>modified</status>
      <modifiedWord>〔2026〕14号</modifiedWord>
      <trackRevisions>false</trackRevisions>
    </reviewItem>
    <reviewItem>
      <errorID>06437be6-5adb-4e7c-a3da-d55e1e11e5fc</errorID>
      <errorWord>《药品管理法》</errorWord>
      <group>L1_Word</group>
      <groupName>字词问题</groupName>
      <ability>L2_Typo</ability>
      <abilityName>字词错误</abilityName>
      <candidateList>
        <item>《中华人民共和国药品管理法》</item>
      </candidateList>
      <explain/>
      <paraID>3D9FC9B0</paraID>
      <start>295</start>
      <end>309</end>
      <status>modified</status>
      <modifiedWord>《中华人民共和国药品管理法》</modifiedWord>
      <trackRevisions>false</trackRevisions>
    </reviewItem>
    <reviewItem>
      <errorID>c2e252b0-fd83-4fff-9863-b93264140f37</errorID>
      <errorWord>办有</errorWord>
      <group>L1_Word</group>
      <groupName>字词问题</groupName>
      <ability>L2_Typo</ability>
      <abilityName>字词错误</abilityName>
      <candidateList>
        <item>持有</item>
      </candidateList>
      <explain/>
      <paraID>40CA1C9A</paraID>
      <start>7</start>
      <end>9</end>
      <status>modified</status>
      <modifiedWord>持有</modifiedWord>
      <trackRevisions>false</trackRevisions>
    </reviewItem>
    <reviewItem>
      <errorID>054b959d-d0ee-4670-9c24-1e30f1bfb075</errorID>
      <errorWord>,</errorWord>
      <group>L1_Format</group>
      <groupName>格式问题</groupName>
      <ability>L2_HalfPunc_CN</ability>
      <abilityName>全半角检查</abilityName>
      <candidateList>
        <item>，</item>
      </candidateList>
      <explain>文本全半角错误。</explain>
      <paraID>69F07C3A</paraID>
      <start>87</start>
      <end>88</end>
      <status>modified</status>
      <modifiedWord>，</modifiedWord>
      <trackRevisions>false</trackRevisions>
    </reviewItem>
    <reviewItem>
      <errorID>5259f919-cf45-4ba0-a7f1-8ad2843b9fcd</errorID>
      <errorWord>,</errorWord>
      <group>L1_Format</group>
      <groupName>格式问题</groupName>
      <ability>L2_HalfPunc_CN</ability>
      <abilityName>全半角检查</abilityName>
      <candidateList>
        <item>，</item>
      </candidateList>
      <explain>文本全半角错误。</explain>
      <paraID>69F07C3A</paraID>
      <start>94</start>
      <end>95</end>
      <status>modified</status>
      <modifiedWord>，</modifiedWord>
      <trackRevisions>false</trackRevisions>
    </reviewItem>
    <reviewItem>
      <errorID>42158488-d0f1-41c9-b2e8-d18b20f69dd5</errorID>
      <errorWord>,</errorWord>
      <group>L1_Format</group>
      <groupName>格式问题</groupName>
      <ability>L2_HalfPunc_CN</ability>
      <abilityName>全半角检查</abilityName>
      <candidateList>
        <item>，</item>
      </candidateList>
      <explain>文本全半角错误。</explain>
      <paraID>69F07C3A</paraID>
      <start>99</start>
      <end>100</end>
      <status>modified</status>
      <modifiedWord>，</modifiedWord>
      <trackRevisions>false</trackRevisions>
    </reviewItem>
    <reviewItem>
      <errorID>5e8866bd-6715-41b2-a847-e848c8cd3043</errorID>
      <errorWord>,</errorWord>
      <group>L1_Format</group>
      <groupName>格式问题</groupName>
      <ability>L2_HalfPunc_CN</ability>
      <abilityName>全半角检查</abilityName>
      <candidateList>
        <item>，</item>
      </candidateList>
      <explain>文本全半角错误。</explain>
      <paraID>69F07C3A</paraID>
      <start>104</start>
      <end>105</end>
      <status>modified</status>
      <modifiedWord>，</modifiedWord>
      <trackRevisions>false</trackRevisions>
    </reviewItem>
    <reviewItem>
      <errorID>d6ad1059-c05a-4be1-b9ad-ac0202e80980</errorID>
      <errorWord>,</errorWord>
      <group>L1_Format</group>
      <groupName>格式问题</groupName>
      <ability>L2_HalfPunc_CN</ability>
      <abilityName>全半角检查</abilityName>
      <candidateList>
        <item>，</item>
      </candidateList>
      <explain>文本全半角错误。</explain>
      <paraID>69F07C3A</paraID>
      <start>109</start>
      <end>110</end>
      <status>modified</status>
      <modifiedWord>，</modifiedWord>
      <trackRevisions>false</trackRevisions>
    </reviewItem>
    <reviewItem>
      <errorID>1bbb7202-74d3-468c-9da8-9eb5e4bf73d3</errorID>
      <errorWord>,</errorWord>
      <group>L1_Format</group>
      <groupName>格式问题</groupName>
      <ability>L2_HalfPunc_CN</ability>
      <abilityName>全半角检查</abilityName>
      <candidateList>
        <item>，</item>
      </candidateList>
      <explain>文本全半角错误。</explain>
      <paraID>69F07C3A</paraID>
      <start>112</start>
      <end>113</end>
      <status>modified</status>
      <modifiedWord>，</modifiedWord>
      <trackRevisions>false</trackRevisions>
    </reviewItem>
    <reviewItem>
      <errorID>ef3d6639-2f54-43d0-a22a-35edc24afb74</errorID>
      <errorWord>;</errorWord>
      <group>L1_Format</group>
      <groupName>格式问题</groupName>
      <ability>L2_HalfPunc_CN</ability>
      <abilityName>全半角检查</abilityName>
      <candidateList>
        <item>；</item>
      </candidateList>
      <explain>文本全半角错误。</explain>
      <paraID>69F07C3A</paraID>
      <start>116</start>
      <end>117</end>
      <status>modified</status>
      <modifiedWord>；</modifiedWord>
      <trackRevisions>false</trackRevisions>
    </reviewItem>
    <reviewItem>
      <errorID>4b015fa6-4864-4ac3-a844-349346dec49d</errorID>
      <errorWord>,</errorWord>
      <group>L1_Format</group>
      <groupName>格式问题</groupName>
      <ability>L2_HalfPunc_CN</ability>
      <abilityName>全半角检查</abilityName>
      <candidateList>
        <item>，</item>
      </candidateList>
      <explain>文本全半角错误。</explain>
      <paraID>69F07C3A</paraID>
      <start>124</start>
      <end>125</end>
      <status>modified</status>
      <modifiedWord>，</modifiedWord>
      <trackRevisions>false</trackRevisions>
    </reviewItem>
    <reviewItem>
      <errorID>610195eb-8dcb-4577-90db-e60725332d6a</errorID>
      <errorWord>,</errorWord>
      <group>L1_Format</group>
      <groupName>格式问题</groupName>
      <ability>L2_HalfPunc_CN</ability>
      <abilityName>全半角检查</abilityName>
      <candidateList>
        <item>，</item>
      </candidateList>
      <explain>文本全半角错误。</explain>
      <paraID>69F07C3A</paraID>
      <start>131</start>
      <end>132</end>
      <status>modified</status>
      <modifiedWord>，</modifiedWord>
      <trackRevisions>false</trackRevisions>
    </reviewItem>
    <reviewItem>
      <errorID>86d0fd2a-6634-4e94-813f-e39c6320590c</errorID>
      <errorWord>,</errorWord>
      <group>L1_Format</group>
      <groupName>格式问题</groupName>
      <ability>L2_HalfPunc_CN</ability>
      <abilityName>全半角检查</abilityName>
      <candidateList>
        <item>，</item>
      </candidateList>
      <explain>文本全半角错误。</explain>
      <paraID>69F07C3A</paraID>
      <start>136</start>
      <end>137</end>
      <status>modified</status>
      <modifiedWord>，</modifiedWord>
      <trackRevisions>false</trackRevisions>
    </reviewItem>
    <reviewItem>
      <errorID>e7a2dbfd-6f4b-488b-b0cb-12423f411419</errorID>
      <errorWord>,味</errorWord>
      <group>L1_Word</group>
      <groupName>字词问题</groupName>
      <ability>L2_Typo</ability>
      <abilityName>字词错误</abilityName>
      <candidateList>
        <item>,</item>
      </candidateList>
      <explain/>
      <paraID>69F07C3A</paraID>
      <start>143</start>
      <end>145</end>
      <status>ignored</status>
      <modifiedWord/>
      <trackRevisions>false</trackRevisions>
    </reviewItem>
    <reviewItem>
      <errorID>da5b677c-4c9f-4026-b5a2-c79d308bcd83</errorID>
      <errorWord>,</errorWord>
      <group>L1_Format</group>
      <groupName>格式问题</groupName>
      <ability>L2_HalfPunc_CN</ability>
      <abilityName>全半角检查</abilityName>
      <candidateList>
        <item>，</item>
      </candidateList>
      <explain>文本全半角错误。</explain>
      <paraID>69F07C3A</paraID>
      <start>155</start>
      <end>156</end>
      <status>modified</status>
      <modifiedWord>，</modifiedWord>
      <trackRevisions>false</trackRevisions>
    </reviewItem>
    <reviewItem>
      <errorID>b31523ac-b500-4a97-952e-300514cf1bfa</errorID>
      <errorWord>,</errorWord>
      <group>L1_Format</group>
      <groupName>格式问题</groupName>
      <ability>L2_HalfPunc_CN</ability>
      <abilityName>全半角检查</abilityName>
      <candidateList>
        <item>，</item>
      </candidateList>
      <explain>文本全半角错误。</explain>
      <paraID>69F07C3A</paraID>
      <start>166</start>
      <end>167</end>
      <status>modified</status>
      <modifiedWord>，</modifiedWord>
      <trackRevisions>false</trackRevisions>
    </reviewItem>
    <reviewItem>
      <errorID>e41c48c8-63cf-4d50-9808-a536247751cb</errorID>
      <errorWord>;</errorWord>
      <group>L1_Format</group>
      <groupName>格式问题</groupName>
      <ability>L2_HalfPunc_CN</ability>
      <abilityName>全半角检查</abilityName>
      <candidateList>
        <item>；</item>
      </candidateList>
      <explain>文本全半角错误。</explain>
      <paraID>69F07C3A</paraID>
      <start>171</start>
      <end>172</end>
      <status>modified</status>
      <modifiedWord>；</modifiedWord>
      <trackRevisions>false</trackRevisions>
    </reviewItem>
    <reviewItem>
      <errorID>45947841-fe6c-4157-9e2d-d1c8e3c2ff2d</errorID>
      <errorWord>叶(不符合规定)</errorWord>
      <group>L1_Grammar</group>
      <groupName>语法问题</groupName>
      <ability>L2_Confusion</ability>
      <abilityName>结构混乱</abilityName>
      <candidateList>
        <item>叶</item>
      </candidateList>
      <explain>句子中可能存在两种以上的句法结构，导致结构混乱。</explain>
      <paraID>69F07C3A</paraID>
      <start>178</start>
      <end>186</end>
      <status>ignored</status>
      <modifiedWord/>
      <trackRevisions>false</trackRevisions>
    </reviewItem>
    <reviewItem>
      <errorID>c2df37b3-5e73-4656-9b97-ad5fe3039e19</errorID>
      <errorWord>(</errorWord>
      <group>L1_Format</group>
      <groupName>格式问题</groupName>
      <ability>L2_HalfPunc_CN</ability>
      <abilityName>全半角检查</abilityName>
      <candidateList>
        <item>（</item>
      </candidateList>
      <explain>文本全半角错误。</explain>
      <paraID>69F07C3A</paraID>
      <start>197</start>
      <end>198</end>
      <status>modified</status>
      <modifiedWord>（</modifiedWord>
      <trackRevisions>false</trackRevisions>
    </reviewItem>
    <reviewItem>
      <errorID>00896fc7-97e7-43ba-a3e5-df4541a0095d</errorID>
      <errorWord>)</errorWord>
      <group>L1_Format</group>
      <groupName>格式问题</groupName>
      <ability>L2_HalfPunc_CN</ability>
      <abilityName>全半角检查</abilityName>
      <candidateList>
        <item>）</item>
      </candidateList>
      <explain>文本全半角错误。</explain>
      <paraID>69F07C3A</paraID>
      <start>199</start>
      <end>200</end>
      <status>modified</status>
      <modifiedWord>）</modifiedWord>
      <trackRevisions>false</trackRevisions>
    </reviewItem>
    <reviewItem>
      <errorID>96e9456d-a5d5-4a59-af26-b97d1b7cd222</errorID>
      <errorWord>《药品管理法》</errorWord>
      <group>L1_Word</group>
      <groupName>字词问题</groupName>
      <ability>L2_Typo</ability>
      <abilityName>字词错误</abilityName>
      <candidateList>
        <item>《中华人民共和国药品管理法》</item>
      </candidateList>
      <explain/>
      <paraID>69F07C3A</paraID>
      <start>313</start>
      <end>327</end>
      <status>modified</status>
      <modifiedWord>《中华人民共和国药品管理法》</modifiedWord>
      <trackRevisions>false</trackRevisions>
    </reviewItem>
    <reviewItem>
      <errorID>819f1f0d-9691-4660-9921-1fe2df7c65ca</errorID>
      <errorWord>身份证</errorWord>
      <group>L1_Sensitive</group>
      <groupName>敏感问题</groupName>
      <ability>L2_UserSensitive</ability>
      <abilityName>自定义敏感词</abilityName>
      <candidateList/>
      <explain>来自自定义敏感词库。</explain>
      <paraID>125FC7C9</paraID>
      <start>70</start>
      <end>73</end>
      <status>ignored</status>
      <modifiedWord/>
      <trackRevisions>false</trackRevisions>
    </reviewItem>
    <reviewItem>
      <errorID>99b8e9c9-83eb-4566-a21d-2d59ba2ec787</errorID>
      <errorWord>2026年05月14日</errorWord>
      <group>L1_Knowledge</group>
      <groupName>知识性问题</groupName>
      <ability>L2_Time</ability>
      <abilityName>日期时间</abilityName>
      <candidateList>
        <item>2026年5月14日</item>
      </candidateList>
      <explain>根据日常书写习惯，月份一般会省略前导零。</explain>
      <paraID> 204AEE2</paraID>
      <start>0</start>
      <end>10</end>
      <status>modified</status>
      <modifiedWord>2026年5月14日</modifiedWord>
      <trackRevisions>false</trackRevisions>
    </reviewItem>
    <reviewItem>
      <errorID>50232386-24c2-46a4-9c26-cb64e45fe975</errorID>
      <errorWord>《药品管理法》</errorWord>
      <group>L1_Word</group>
      <groupName>字词问题</groupName>
      <ability>L2_Typo</ability>
      <abilityName>字词错误</abilityName>
      <candidateList>
        <item>《中华人民共和国药品管理法》</item>
      </candidateList>
      <explain/>
      <paraID>41982776</paraID>
      <start>29</start>
      <end>43</end>
      <status>modified</status>
      <modifiedWord>《中华人民共和国药品管理法》</modifiedWord>
      <trackRevisions>false</trackRevisions>
    </reviewItem>
    <reviewItem>
      <errorID>3ec5d146-8baf-4cb9-a243-932502b73c01</errorID>
      <errorWord>药品管理法实施条例</errorWord>
      <group>L1_Knowledge</group>
      <groupName>知识性问题</groupName>
      <ability>L2_Knowledge</ability>
      <abilityName>其他知识</abilityName>
      <candidateList>
        <item>中华人民共和国药品管理法实施条例</item>
      </candidateList>
      <explain>当前法律法规名称使用简称，请注意是否应当使用全称。</explain>
      <paraID>41982776</paraID>
      <start>45</start>
      <end>61</end>
      <status>modified</status>
      <modifiedWord>中华人民共和国药品管理法实施条例</modifiedWord>
      <trackRevisions>false</trackRevisions>
    </reviewItem>
    <reviewItem>
      <errorID>0dc49745-e679-412e-af7c-e9af29ef0f45</errorID>
      <errorWord>法律、法规</errorWord>
      <group>L1_Word</group>
      <groupName>字词问题</groupName>
      <ability>L2_Typo</ability>
      <abilityName>字词错误</abilityName>
      <candidateList>
        <item>法律法规</item>
      </candidateList>
      <explain/>
      <paraID>6699414D</paraID>
      <start>96</start>
      <end>101</end>
      <status>ignored</status>
      <modifiedWord/>
      <trackRevisions>false</trackRevisions>
    </reviewItem>
    <reviewItem>
      <errorID>4065c2f0-81f2-45c4-8d2a-33562fef9d6a</errorID>
      <errorWord>一式二份，一份</errorWord>
      <group>L1_Word</group>
      <groupName>字词问题</groupName>
      <ability>L2_Typo</ability>
      <abilityName>字词错误</abilityName>
      <candidateList>
        <item>一式两份，一份</item>
      </candidateList>
      <explain/>
      <paraID>1C69C071</paraID>
      <start>5</start>
      <end>12</end>
      <status>modified</status>
      <modifiedWord>一式两份，一份</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b9a21f-a818-41af-84c1-c3b53e17ca9d}">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Pages>
  <Words>1698</Words>
  <Characters>1829</Characters>
  <Lines>8</Lines>
  <Paragraphs>2</Paragraphs>
  <TotalTime>11</TotalTime>
  <ScaleCrop>false</ScaleCrop>
  <LinksUpToDate>false</LinksUpToDate>
  <CharactersWithSpaces>1905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2019-06-16T03:02:00Z</dcterms:created>
  <dc:creator>Administrator</dc:creator>
  <cp:lastModifiedBy>天天8871</cp:lastModifiedBy>
  <cp:lastPrinted>2026-05-22T18:00:00Z</cp:lastPrinted>
  <dcterms:modified xsi:type="dcterms:W3CDTF">2026-06-02T02:47:12Z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37450A571E6107F2F9C64F678BBC8AAE</vt:lpwstr>
  </property>
  <property fmtid="{D5CDD505-2E9C-101B-9397-08002B2CF9AE}" pid="4" name="KSOTemplateDocerSaveRecord">
    <vt:lpwstr>eyJoZGlkIjoiOTQ4NzBkNmM4Yzk5NTU5YTIwNTkxZTRlZDYxMzgyNTAiLCJ1c2VySWQiOiI3MjUzNTA0OTgifQ==</vt:lpwstr>
  </property>
</Properties>
</file>