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9C57F">
      <w:pPr>
        <w:keepNext w:val="0"/>
        <w:keepLines w:val="0"/>
        <w:pageBreakBefore w:val="0"/>
        <w:widowControl/>
        <w:tabs>
          <w:tab w:val="left" w:pos="3518"/>
        </w:tabs>
        <w:kinsoku w:val="0"/>
        <w:wordWrap/>
        <w:overflowPunct/>
        <w:topLinePunct w:val="0"/>
        <w:autoSpaceDE w:val="0"/>
        <w:autoSpaceDN w:val="0"/>
        <w:bidi w:val="0"/>
        <w:adjustRightInd w:val="0"/>
        <w:snapToGrid w:val="0"/>
        <w:spacing w:line="300" w:lineRule="auto"/>
        <w:jc w:val="center"/>
        <w:textAlignment w:val="baseline"/>
        <w:rPr>
          <w:rFonts w:hint="eastAsia" w:ascii="黑体" w:hAnsi="黑体" w:eastAsia="黑体" w:cs="黑体"/>
          <w:spacing w:val="-2"/>
          <w:sz w:val="44"/>
          <w:szCs w:val="44"/>
        </w:rPr>
      </w:pPr>
      <w:r>
        <w:rPr>
          <w:rFonts w:hint="eastAsia" w:ascii="黑体" w:hAnsi="黑体" w:eastAsia="黑体" w:cs="黑体"/>
          <w:spacing w:val="-2"/>
          <w:sz w:val="44"/>
          <w:szCs w:val="44"/>
        </w:rPr>
        <w:t>晋江市市场监督管理局</w:t>
      </w:r>
    </w:p>
    <w:p w14:paraId="56E6213A">
      <w:pPr>
        <w:keepNext w:val="0"/>
        <w:keepLines w:val="0"/>
        <w:pageBreakBefore w:val="0"/>
        <w:widowControl/>
        <w:tabs>
          <w:tab w:val="left" w:pos="3518"/>
        </w:tabs>
        <w:kinsoku w:val="0"/>
        <w:wordWrap/>
        <w:overflowPunct/>
        <w:topLinePunct w:val="0"/>
        <w:autoSpaceDE w:val="0"/>
        <w:autoSpaceDN w:val="0"/>
        <w:bidi w:val="0"/>
        <w:adjustRightInd w:val="0"/>
        <w:snapToGrid w:val="0"/>
        <w:spacing w:line="300" w:lineRule="auto"/>
        <w:jc w:val="center"/>
        <w:textAlignment w:val="baseline"/>
        <w:rPr>
          <w:rFonts w:hint="eastAsia" w:ascii="黑体" w:hAnsi="黑体" w:eastAsia="黑体" w:cs="黑体"/>
          <w:sz w:val="44"/>
          <w:szCs w:val="44"/>
        </w:rPr>
      </w:pPr>
      <w:r>
        <w:rPr>
          <w:rFonts w:hint="eastAsia" w:ascii="黑体" w:hAnsi="黑体" w:eastAsia="黑体" w:cs="黑体"/>
          <w:spacing w:val="-1"/>
          <w:sz w:val="44"/>
          <w:szCs w:val="44"/>
        </w:rPr>
        <w:t>行政</w:t>
      </w:r>
      <w:r>
        <w:rPr>
          <w:rFonts w:hint="eastAsia" w:ascii="黑体" w:hAnsi="黑体" w:eastAsia="黑体" w:cs="黑体"/>
          <w:spacing w:val="-1"/>
          <w:sz w:val="44"/>
          <w:szCs w:val="44"/>
          <w:lang w:eastAsia="zh-CN"/>
        </w:rPr>
        <w:t>处</w:t>
      </w:r>
      <w:r>
        <w:rPr>
          <w:rFonts w:hint="eastAsia" w:ascii="黑体" w:hAnsi="黑体" w:eastAsia="黑体" w:cs="黑体"/>
          <w:spacing w:val="-1"/>
          <w:sz w:val="44"/>
          <w:szCs w:val="44"/>
        </w:rPr>
        <w:t>罚决定书</w:t>
      </w:r>
    </w:p>
    <w:p w14:paraId="6BE1BFC8">
      <w:pPr>
        <w:keepNext w:val="0"/>
        <w:keepLines w:val="0"/>
        <w:pageBreakBefore w:val="0"/>
        <w:widowControl/>
        <w:tabs>
          <w:tab w:val="left" w:pos="2725"/>
        </w:tabs>
        <w:kinsoku w:val="0"/>
        <w:wordWrap/>
        <w:overflowPunct/>
        <w:topLinePunct w:val="0"/>
        <w:autoSpaceDE w:val="0"/>
        <w:autoSpaceDN w:val="0"/>
        <w:bidi w:val="0"/>
        <w:adjustRightInd w:val="0"/>
        <w:snapToGrid w:val="0"/>
        <w:spacing w:before="157" w:beforeLines="50" w:after="157" w:afterLines="50" w:line="240" w:lineRule="auto"/>
        <w:jc w:val="center"/>
        <w:textAlignment w:val="baseline"/>
        <w:rPr>
          <w:rFonts w:hint="eastAsia" w:ascii="仿宋" w:hAnsi="仿宋" w:eastAsia="仿宋" w:cs="仿宋"/>
          <w:spacing w:val="-7"/>
          <w:sz w:val="32"/>
          <w:szCs w:val="32"/>
        </w:rPr>
      </w:pPr>
      <w:r>
        <w:rPr>
          <w:rFonts w:hint="eastAsia" w:ascii="仿宋" w:hAnsi="仿宋" w:eastAsia="仿宋" w:cs="仿宋"/>
          <w:spacing w:val="-7"/>
          <w:sz w:val="32"/>
          <w:szCs w:val="32"/>
        </w:rPr>
        <w:t>晋市监</w:t>
      </w:r>
      <w:r>
        <w:rPr>
          <w:rFonts w:hint="eastAsia" w:ascii="仿宋" w:hAnsi="仿宋" w:eastAsia="仿宋" w:cs="仿宋"/>
          <w:spacing w:val="-7"/>
          <w:sz w:val="32"/>
          <w:szCs w:val="32"/>
          <w:lang w:eastAsia="zh-CN"/>
        </w:rPr>
        <w:t>处罚</w:t>
      </w:r>
      <w:r>
        <w:rPr>
          <w:rFonts w:hint="eastAsia" w:ascii="仿宋" w:hAnsi="仿宋" w:eastAsia="仿宋" w:cs="仿宋"/>
          <w:spacing w:val="-7"/>
          <w:sz w:val="32"/>
          <w:szCs w:val="32"/>
        </w:rPr>
        <w:t>〔202</w:t>
      </w:r>
      <w:r>
        <w:rPr>
          <w:rFonts w:hint="eastAsia" w:ascii="仿宋" w:hAnsi="仿宋" w:eastAsia="仿宋" w:cs="仿宋"/>
          <w:spacing w:val="-7"/>
          <w:sz w:val="32"/>
          <w:szCs w:val="32"/>
          <w:lang w:val="en-US" w:eastAsia="zh-CN"/>
        </w:rPr>
        <w:t>6</w:t>
      </w:r>
      <w:r>
        <w:rPr>
          <w:rFonts w:hint="eastAsia" w:ascii="仿宋" w:hAnsi="仿宋" w:eastAsia="仿宋" w:cs="仿宋"/>
          <w:spacing w:val="-7"/>
          <w:sz w:val="32"/>
          <w:szCs w:val="32"/>
        </w:rPr>
        <w:t>〕</w:t>
      </w:r>
      <w:r>
        <w:rPr>
          <w:rFonts w:hint="eastAsia" w:ascii="仿宋" w:hAnsi="仿宋" w:eastAsia="仿宋" w:cs="仿宋"/>
          <w:spacing w:val="-7"/>
          <w:sz w:val="32"/>
          <w:szCs w:val="32"/>
          <w:highlight w:val="none"/>
        </w:rPr>
        <w:t>10-</w:t>
      </w:r>
      <w:r>
        <w:rPr>
          <w:rFonts w:hint="eastAsia" w:ascii="仿宋" w:hAnsi="仿宋" w:eastAsia="仿宋" w:cs="仿宋"/>
          <w:spacing w:val="-7"/>
          <w:sz w:val="32"/>
          <w:szCs w:val="32"/>
          <w:highlight w:val="none"/>
          <w:lang w:val="en-US" w:eastAsia="zh-CN"/>
        </w:rPr>
        <w:t>011</w:t>
      </w:r>
      <w:r>
        <w:rPr>
          <w:rFonts w:hint="eastAsia" w:ascii="仿宋" w:hAnsi="仿宋" w:eastAsia="仿宋" w:cs="仿宋"/>
          <w:spacing w:val="-7"/>
          <w:sz w:val="32"/>
          <w:szCs w:val="32"/>
        </w:rPr>
        <w:t>号</w:t>
      </w:r>
    </w:p>
    <w:p w14:paraId="532E1A3F">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当事人：晋江市深沪镇于伟糖品厂</w:t>
      </w:r>
    </w:p>
    <w:p w14:paraId="7BA1829F">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主体资格证照名称：营业执照  </w:t>
      </w:r>
    </w:p>
    <w:p w14:paraId="17F770CB">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统一社会信用代码：92350582MA335HMF1L</w:t>
      </w:r>
    </w:p>
    <w:p w14:paraId="67B64B51">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福建省食品生产加工小作坊登记证证号：食坊字第3505820123号</w:t>
      </w:r>
    </w:p>
    <w:p w14:paraId="40E413F1">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住所：晋江市深沪镇东垵村******</w:t>
      </w:r>
    </w:p>
    <w:p w14:paraId="7DA8A65D">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经营者：张于伟</w:t>
      </w:r>
    </w:p>
    <w:p w14:paraId="171431A7">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eastAsia="zh-CN"/>
        </w:rPr>
      </w:pPr>
      <w:r>
        <w:rPr>
          <w:rFonts w:hint="eastAsia" w:ascii="仿宋" w:hAnsi="仿宋" w:eastAsia="仿宋" w:cs="仿宋"/>
          <w:sz w:val="32"/>
          <w:szCs w:val="32"/>
          <w:lang w:val="en-US" w:eastAsia="zh-CN"/>
        </w:rPr>
        <w:t>2025年11月26日，本局在国家市场监督管理总局食品安全智慧监管系统中收到广州检验检测认证集团有限公司的检验报告（No：食专 2025-11-4192），报告显示被抽样单位晋江市深沪镇于伟糖品厂生产的豆饼产品（口味：绿豆饼，生产日期：2025.11.12，规格：330g/袋）在食品安全监督抽检中，经检验，山梨酸及其钾盐(以山梨酸计)项目不符合 GB 2760-2024《食品安全国家标准 食品添加剂使用标准》要求，检验结论为不合格（实测值：1.5g/kg）。2025年11月27日，本局执法人员依法对当事人的经营场所进行检查，并送达上述检验报告（No：食专 2025-11-4192），当事人确认该批次抽检不合格的产品是其生产的，现场检查时未发现上述不合格批次的产品库存。当事人的行为涉嫌违反《中华人民共和国食品安全法》第三十四条第四项的规定。</w:t>
      </w:r>
    </w:p>
    <w:p w14:paraId="07D664F1">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eastAsia="zh-CN"/>
        </w:rPr>
        <w:t>经查明，当事人生产的豆饼</w:t>
      </w:r>
      <w:r>
        <w:rPr>
          <w:rFonts w:hint="eastAsia" w:ascii="仿宋" w:hAnsi="仿宋" w:eastAsia="仿宋" w:cs="仿宋"/>
          <w:sz w:val="32"/>
          <w:szCs w:val="32"/>
          <w:lang w:val="en-US" w:eastAsia="zh-CN"/>
        </w:rPr>
        <w:t>（口味：绿豆饼，生产日期：2025.11.12，规格330g/袋）在食品安全监督抽检中，经检验山梨酸及其钾盐(以山梨酸计)项目（实测值为1.50g/kg，）不合格的豆饼产品（口味：绿豆饼，生产日期：2025.11.12，规格330g/袋）生产数量共40袋，成本价5元/袋，售价7元/袋；上述批次不合格的豆饼产品已于2025年11月12日当天全部售出，其中用于监督抽检数量为8袋。当事人于2025年11月27日开展召回工作，截至2025年12月25日召回期满，召回数为0。据此认定，本案涉案货值280元，违法所得280元。</w:t>
      </w:r>
    </w:p>
    <w:p w14:paraId="5276A506">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上述事实，主要有</w:t>
      </w:r>
      <w:r>
        <w:rPr>
          <w:rFonts w:hint="eastAsia" w:ascii="仿宋" w:hAnsi="仿宋" w:eastAsia="仿宋" w:cs="仿宋"/>
          <w:sz w:val="32"/>
          <w:szCs w:val="32"/>
          <w:lang w:val="en-US" w:eastAsia="zh-CN"/>
        </w:rPr>
        <w:t>涉案豆饼食品安全监督抽检检验报告及食品安全抽样</w:t>
      </w:r>
      <w:r>
        <w:rPr>
          <w:rFonts w:hint="eastAsia" w:ascii="仿宋" w:hAnsi="仿宋" w:eastAsia="仿宋" w:cs="仿宋"/>
          <w:sz w:val="32"/>
          <w:szCs w:val="32"/>
        </w:rPr>
        <w:t>检验抽样单</w:t>
      </w:r>
      <w:r>
        <w:rPr>
          <w:rFonts w:hint="eastAsia" w:ascii="仿宋" w:hAnsi="仿宋" w:eastAsia="仿宋" w:cs="仿宋"/>
          <w:sz w:val="32"/>
          <w:szCs w:val="32"/>
          <w:lang w:eastAsia="zh-CN"/>
        </w:rPr>
        <w:t>、当事人营业执照、福建省食品生产加工小作坊登记证、经营者身份证复印件、</w:t>
      </w:r>
      <w:r>
        <w:rPr>
          <w:rFonts w:hint="eastAsia" w:ascii="仿宋" w:hAnsi="仿宋" w:eastAsia="仿宋" w:cs="仿宋"/>
          <w:sz w:val="32"/>
          <w:szCs w:val="32"/>
          <w:lang w:val="en-US" w:eastAsia="zh-CN"/>
        </w:rPr>
        <w:t>现场笔录及照片、监督抽检现场照片、询问笔录、投料记录、进货票据及台账、销售单据及台账、食品召回计划报告表、食品召回公告及照片、召回总结、食品原料供货商资质、食品原料检验</w:t>
      </w:r>
      <w:bookmarkStart w:id="0" w:name="_GoBack"/>
      <w:bookmarkEnd w:id="0"/>
      <w:r>
        <w:rPr>
          <w:rFonts w:hint="eastAsia" w:ascii="仿宋" w:hAnsi="仿宋" w:eastAsia="仿宋" w:cs="仿宋"/>
          <w:sz w:val="32"/>
          <w:szCs w:val="32"/>
          <w:lang w:val="en-US" w:eastAsia="zh-CN"/>
        </w:rPr>
        <w:t>报告、福建省一体化大融合行政执法平台查询情况截图</w:t>
      </w:r>
      <w:r>
        <w:rPr>
          <w:rFonts w:hint="eastAsia" w:ascii="仿宋" w:hAnsi="仿宋" w:eastAsia="仿宋" w:cs="仿宋"/>
          <w:sz w:val="32"/>
          <w:szCs w:val="32"/>
        </w:rPr>
        <w:t>等证据证实。</w:t>
      </w:r>
    </w:p>
    <w:p w14:paraId="01024D42">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日，本局向当事人送达了《行政处罚告知书》（晋市监</w:t>
      </w:r>
      <w:r>
        <w:rPr>
          <w:rFonts w:hint="eastAsia" w:ascii="仿宋" w:hAnsi="仿宋" w:eastAsia="仿宋" w:cs="仿宋"/>
          <w:sz w:val="32"/>
          <w:szCs w:val="32"/>
          <w:lang w:eastAsia="zh-CN"/>
        </w:rPr>
        <w:t>罚</w:t>
      </w:r>
      <w:r>
        <w:rPr>
          <w:rFonts w:hint="eastAsia" w:ascii="仿宋" w:hAnsi="仿宋" w:eastAsia="仿宋" w:cs="仿宋"/>
          <w:sz w:val="32"/>
          <w:szCs w:val="32"/>
        </w:rPr>
        <w:t>告〔20</w:t>
      </w:r>
      <w:r>
        <w:rPr>
          <w:rFonts w:hint="eastAsia" w:ascii="仿宋" w:hAnsi="仿宋" w:eastAsia="仿宋" w:cs="仿宋"/>
          <w:sz w:val="32"/>
          <w:szCs w:val="32"/>
          <w:lang w:val="en-US" w:eastAsia="zh-CN"/>
        </w:rPr>
        <w:t>26</w:t>
      </w:r>
      <w:r>
        <w:rPr>
          <w:rFonts w:hint="eastAsia" w:ascii="仿宋" w:hAnsi="仿宋" w:eastAsia="仿宋" w:cs="仿宋"/>
          <w:sz w:val="32"/>
          <w:szCs w:val="32"/>
        </w:rPr>
        <w:t>〕10-</w:t>
      </w:r>
      <w:r>
        <w:rPr>
          <w:rFonts w:hint="eastAsia" w:ascii="仿宋" w:hAnsi="仿宋" w:eastAsia="仿宋" w:cs="仿宋"/>
          <w:sz w:val="32"/>
          <w:szCs w:val="32"/>
          <w:lang w:val="en-US" w:eastAsia="zh-CN"/>
        </w:rPr>
        <w:t>014号），当事人在法定期限内未提出陈述、申辩，也未提出听证要求。</w:t>
      </w:r>
    </w:p>
    <w:p w14:paraId="7B9A3E41">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案中，当事人超限量使用食品添加剂山梨酸钾生产加工豆饼的行为，违反了《中华人民共和国食品安全法》第三十四条第四项的规定。该行为事实清楚，证据充分。鉴于当事人积极配合调查，违法货值金额小,如实陈述违法事实并主动提供证据材料,符合《福建省市场监督管理行政处罚裁量权适用规则》第十一条第二、三项规定的可以从轻或减轻处罚的情形。结合《中华人民共和国行政处罚法》第五条“过罚相当原则”及第六条“处罚与教育相结合原则”；依据《中华人民共和国行政处罚法》第二十八条第一款，责令当事人改正上述违法行为，依据《中华人民共和国行政处罚法》第三十二条第五项、《中华人民共和国食品安全法》第一百二十四条第一款第三项的规定，对当事人作出处理如下：</w:t>
      </w:r>
    </w:p>
    <w:p w14:paraId="77E67D3E">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1、没收违法所得280元；</w:t>
      </w:r>
    </w:p>
    <w:p w14:paraId="1E295C6A">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2、处以罚款15100元。</w:t>
      </w:r>
    </w:p>
    <w:p w14:paraId="69D83FAA">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上述款项合计</w:t>
      </w:r>
      <w:r>
        <w:rPr>
          <w:rFonts w:hint="eastAsia" w:ascii="仿宋" w:hAnsi="仿宋" w:eastAsia="仿宋" w:cs="仿宋"/>
          <w:sz w:val="32"/>
          <w:szCs w:val="32"/>
          <w:lang w:eastAsia="zh-CN"/>
        </w:rPr>
        <w:t>人民币</w:t>
      </w:r>
      <w:r>
        <w:rPr>
          <w:rFonts w:hint="eastAsia" w:ascii="仿宋" w:hAnsi="仿宋" w:eastAsia="仿宋" w:cs="仿宋"/>
          <w:sz w:val="32"/>
          <w:szCs w:val="32"/>
          <w:lang w:val="en-US" w:eastAsia="zh-CN"/>
        </w:rPr>
        <w:t>1</w:t>
      </w:r>
      <w:r>
        <w:rPr>
          <w:rFonts w:hint="eastAsia" w:ascii="仿宋" w:hAnsi="仿宋" w:eastAsia="仿宋" w:cs="仿宋"/>
          <w:sz w:val="32"/>
          <w:szCs w:val="32"/>
        </w:rPr>
        <w:t>5</w:t>
      </w:r>
      <w:r>
        <w:rPr>
          <w:rFonts w:hint="eastAsia" w:ascii="仿宋" w:hAnsi="仿宋" w:eastAsia="仿宋" w:cs="仿宋"/>
          <w:sz w:val="32"/>
          <w:szCs w:val="32"/>
          <w:lang w:val="en-US" w:eastAsia="zh-CN"/>
        </w:rPr>
        <w:t>380</w:t>
      </w:r>
      <w:r>
        <w:rPr>
          <w:rFonts w:hint="eastAsia" w:ascii="仿宋" w:hAnsi="仿宋" w:eastAsia="仿宋" w:cs="仿宋"/>
          <w:sz w:val="32"/>
          <w:szCs w:val="32"/>
        </w:rPr>
        <w:t>元，</w:t>
      </w:r>
      <w:r>
        <w:rPr>
          <w:rFonts w:hint="eastAsia" w:ascii="仿宋" w:hAnsi="仿宋" w:eastAsia="仿宋" w:cs="仿宋"/>
          <w:sz w:val="32"/>
          <w:szCs w:val="32"/>
          <w:lang w:val="en-US" w:eastAsia="zh-CN"/>
        </w:rPr>
        <w:t>当事人应当自收到本决定书之日起十五日内，持福建省政府非税收入缴款通知书通过银行网点或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r>
        <w:rPr>
          <w:rFonts w:hint="eastAsia" w:ascii="仿宋" w:hAnsi="仿宋" w:eastAsia="仿宋" w:cs="仿宋"/>
          <w:sz w:val="32"/>
          <w:szCs w:val="32"/>
        </w:rPr>
        <w:t>。</w:t>
      </w:r>
    </w:p>
    <w:p w14:paraId="2BD39A7B">
      <w:pPr>
        <w:keepNext w:val="0"/>
        <w:keepLines w:val="0"/>
        <w:pageBreakBefore w:val="0"/>
        <w:widowControl w:val="0"/>
        <w:kinsoku/>
        <w:wordWrap/>
        <w:overflowPunct w:val="0"/>
        <w:topLinePunct/>
        <w:autoSpaceDE w:val="0"/>
        <w:autoSpaceDN w:val="0"/>
        <w:bidi w:val="0"/>
        <w:adjustRightInd w:val="0"/>
        <w:snapToGrid w:val="0"/>
        <w:spacing w:line="500" w:lineRule="exact"/>
        <w:ind w:right="0"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当事人如对本行政处罚决定不服，可在接到本行政处罚决定书之日起</w:t>
      </w:r>
      <w:r>
        <w:rPr>
          <w:rFonts w:hint="eastAsia" w:ascii="仿宋" w:hAnsi="仿宋" w:eastAsia="仿宋" w:cs="仿宋"/>
          <w:sz w:val="32"/>
          <w:szCs w:val="32"/>
          <w:lang w:val="en-US" w:eastAsia="zh-CN"/>
        </w:rPr>
        <w:t>六十</w:t>
      </w:r>
      <w:r>
        <w:rPr>
          <w:rFonts w:hint="eastAsia" w:ascii="仿宋" w:hAnsi="仿宋" w:eastAsia="仿宋" w:cs="仿宋"/>
          <w:sz w:val="32"/>
          <w:szCs w:val="32"/>
        </w:rPr>
        <w:t>日内向晋江市人民政府申请</w:t>
      </w:r>
      <w:r>
        <w:rPr>
          <w:rFonts w:hint="eastAsia" w:ascii="仿宋" w:hAnsi="仿宋" w:eastAsia="仿宋" w:cs="仿宋"/>
          <w:sz w:val="32"/>
          <w:szCs w:val="32"/>
          <w:lang w:eastAsia="zh-CN"/>
        </w:rPr>
        <w:t>行政</w:t>
      </w:r>
      <w:r>
        <w:rPr>
          <w:rFonts w:hint="eastAsia" w:ascii="仿宋" w:hAnsi="仿宋" w:eastAsia="仿宋" w:cs="仿宋"/>
          <w:sz w:val="32"/>
          <w:szCs w:val="32"/>
        </w:rPr>
        <w:t>复议，也可以</w:t>
      </w:r>
      <w:r>
        <w:rPr>
          <w:rFonts w:hint="eastAsia" w:ascii="仿宋" w:hAnsi="仿宋" w:eastAsia="仿宋" w:cs="仿宋"/>
          <w:sz w:val="32"/>
          <w:szCs w:val="32"/>
          <w:lang w:eastAsia="zh-CN"/>
        </w:rPr>
        <w:t>在</w:t>
      </w:r>
      <w:r>
        <w:rPr>
          <w:rFonts w:hint="eastAsia" w:ascii="仿宋" w:hAnsi="仿宋" w:eastAsia="仿宋" w:cs="仿宋"/>
          <w:sz w:val="32"/>
          <w:szCs w:val="32"/>
          <w:lang w:val="en-US"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泉州市洛江区</w:t>
      </w:r>
      <w:r>
        <w:rPr>
          <w:rFonts w:hint="eastAsia" w:ascii="仿宋" w:hAnsi="仿宋" w:eastAsia="仿宋" w:cs="仿宋"/>
          <w:sz w:val="32"/>
          <w:szCs w:val="32"/>
        </w:rPr>
        <w:t>人民法院提起行政诉讼。</w:t>
      </w:r>
      <w:r>
        <w:rPr>
          <w:rFonts w:hint="eastAsia" w:ascii="仿宋" w:hAnsi="仿宋" w:eastAsia="仿宋" w:cs="仿宋"/>
          <w:sz w:val="32"/>
          <w:szCs w:val="32"/>
          <w:lang w:eastAsia="zh-CN"/>
        </w:rPr>
        <w:t>申请行政复议或者提起行政诉讼期间，行政处罚不停止执行，法律、法规、规章另有规定的，从其规定。</w:t>
      </w:r>
      <w:r>
        <w:rPr>
          <w:rFonts w:hint="eastAsia" w:ascii="仿宋" w:hAnsi="仿宋" w:eastAsia="仿宋" w:cs="仿宋"/>
          <w:sz w:val="32"/>
          <w:szCs w:val="32"/>
        </w:rPr>
        <w:t>当事人在法定期限内不申请行政复议或者提起行政诉讼，又不履行本行政处罚决定的，我局将依法申请晋江市人民法院强制执行。</w:t>
      </w:r>
    </w:p>
    <w:p w14:paraId="22A083D0">
      <w:pPr>
        <w:keepNext w:val="0"/>
        <w:keepLines w:val="0"/>
        <w:pageBreakBefore w:val="0"/>
        <w:widowControl w:val="0"/>
        <w:tabs>
          <w:tab w:val="left" w:pos="5667"/>
        </w:tabs>
        <w:kinsoku/>
        <w:wordWrap/>
        <w:overflowPunct w:val="0"/>
        <w:topLinePunct/>
        <w:autoSpaceDE w:val="0"/>
        <w:autoSpaceDN w:val="0"/>
        <w:bidi w:val="0"/>
        <w:adjustRightInd w:val="0"/>
        <w:snapToGrid w:val="0"/>
        <w:spacing w:line="500" w:lineRule="exact"/>
        <w:ind w:right="0" w:firstLine="624" w:firstLineChars="200"/>
        <w:jc w:val="right"/>
        <w:textAlignment w:val="baseline"/>
        <w:rPr>
          <w:rFonts w:hint="eastAsia" w:ascii="仿宋" w:hAnsi="仿宋" w:eastAsia="仿宋" w:cs="仿宋"/>
          <w:spacing w:val="-4"/>
          <w:sz w:val="32"/>
          <w:szCs w:val="32"/>
        </w:rPr>
      </w:pPr>
    </w:p>
    <w:p w14:paraId="177C130D">
      <w:pPr>
        <w:keepNext w:val="0"/>
        <w:keepLines w:val="0"/>
        <w:pageBreakBefore w:val="0"/>
        <w:widowControl w:val="0"/>
        <w:tabs>
          <w:tab w:val="left" w:pos="5667"/>
        </w:tabs>
        <w:kinsoku/>
        <w:wordWrap/>
        <w:overflowPunct w:val="0"/>
        <w:topLinePunct/>
        <w:autoSpaceDE w:val="0"/>
        <w:autoSpaceDN w:val="0"/>
        <w:bidi w:val="0"/>
        <w:adjustRightInd w:val="0"/>
        <w:snapToGrid w:val="0"/>
        <w:spacing w:line="500" w:lineRule="exact"/>
        <w:ind w:right="0" w:firstLine="624" w:firstLineChars="200"/>
        <w:jc w:val="right"/>
        <w:textAlignment w:val="baseline"/>
        <w:rPr>
          <w:rFonts w:hint="eastAsia" w:ascii="仿宋" w:hAnsi="仿宋" w:eastAsia="仿宋" w:cs="仿宋"/>
          <w:spacing w:val="-4"/>
          <w:sz w:val="32"/>
          <w:szCs w:val="32"/>
        </w:rPr>
      </w:pPr>
      <w:r>
        <w:rPr>
          <w:rFonts w:hint="eastAsia" w:ascii="仿宋" w:hAnsi="仿宋" w:eastAsia="仿宋" w:cs="仿宋"/>
          <w:spacing w:val="-4"/>
          <w:sz w:val="32"/>
          <w:szCs w:val="32"/>
        </w:rPr>
        <w:t>晋江市市场监督管理局</w:t>
      </w:r>
    </w:p>
    <w:p w14:paraId="080C87CB">
      <w:pPr>
        <w:keepNext w:val="0"/>
        <w:keepLines w:val="0"/>
        <w:pageBreakBefore w:val="0"/>
        <w:widowControl w:val="0"/>
        <w:tabs>
          <w:tab w:val="left" w:pos="5667"/>
        </w:tabs>
        <w:kinsoku/>
        <w:wordWrap/>
        <w:overflowPunct w:val="0"/>
        <w:topLinePunct/>
        <w:autoSpaceDE w:val="0"/>
        <w:autoSpaceDN w:val="0"/>
        <w:bidi w:val="0"/>
        <w:adjustRightInd w:val="0"/>
        <w:snapToGrid w:val="0"/>
        <w:spacing w:line="500" w:lineRule="exact"/>
        <w:ind w:right="0" w:firstLine="624" w:firstLineChars="200"/>
        <w:jc w:val="center"/>
        <w:textAlignment w:val="baseline"/>
        <w:rPr>
          <w:rFonts w:hint="eastAsia" w:ascii="仿宋" w:hAnsi="仿宋" w:eastAsia="仿宋" w:cs="仿宋"/>
          <w:spacing w:val="-16"/>
          <w:sz w:val="32"/>
          <w:szCs w:val="32"/>
          <w:highlight w:val="none"/>
        </w:rPr>
      </w:pP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highlight w:val="none"/>
          <w:lang w:val="en-US" w:eastAsia="zh-CN"/>
        </w:rPr>
        <w:t xml:space="preserve">  </w:t>
      </w:r>
      <w:r>
        <w:rPr>
          <w:rFonts w:hint="eastAsia" w:ascii="仿宋" w:hAnsi="仿宋" w:eastAsia="仿宋" w:cs="仿宋"/>
          <w:spacing w:val="-4"/>
          <w:sz w:val="32"/>
          <w:szCs w:val="32"/>
          <w:highlight w:val="none"/>
        </w:rPr>
        <w:t>202</w:t>
      </w:r>
      <w:r>
        <w:rPr>
          <w:rFonts w:hint="eastAsia" w:ascii="仿宋" w:hAnsi="仿宋" w:eastAsia="仿宋" w:cs="仿宋"/>
          <w:spacing w:val="-4"/>
          <w:sz w:val="32"/>
          <w:szCs w:val="32"/>
          <w:highlight w:val="none"/>
          <w:lang w:val="en-US" w:eastAsia="zh-CN"/>
        </w:rPr>
        <w:t>6</w:t>
      </w:r>
      <w:r>
        <w:rPr>
          <w:rFonts w:hint="eastAsia" w:ascii="仿宋" w:hAnsi="仿宋" w:eastAsia="仿宋" w:cs="仿宋"/>
          <w:spacing w:val="-16"/>
          <w:sz w:val="32"/>
          <w:szCs w:val="32"/>
          <w:highlight w:val="none"/>
        </w:rPr>
        <w:t>年</w:t>
      </w:r>
      <w:r>
        <w:rPr>
          <w:rFonts w:hint="eastAsia" w:ascii="仿宋" w:hAnsi="仿宋" w:eastAsia="仿宋" w:cs="仿宋"/>
          <w:spacing w:val="10"/>
          <w:sz w:val="32"/>
          <w:szCs w:val="32"/>
          <w:highlight w:val="none"/>
          <w:lang w:val="en-US" w:eastAsia="zh-CN"/>
        </w:rPr>
        <w:t>2</w:t>
      </w:r>
      <w:r>
        <w:rPr>
          <w:rFonts w:hint="eastAsia" w:ascii="仿宋" w:hAnsi="仿宋" w:eastAsia="仿宋" w:cs="仿宋"/>
          <w:spacing w:val="-16"/>
          <w:sz w:val="32"/>
          <w:szCs w:val="32"/>
          <w:highlight w:val="none"/>
        </w:rPr>
        <w:t>月</w:t>
      </w:r>
      <w:r>
        <w:rPr>
          <w:rFonts w:hint="eastAsia" w:ascii="仿宋" w:hAnsi="仿宋" w:eastAsia="仿宋" w:cs="仿宋"/>
          <w:spacing w:val="24"/>
          <w:sz w:val="32"/>
          <w:szCs w:val="32"/>
          <w:highlight w:val="none"/>
          <w:lang w:val="en-US" w:eastAsia="zh-CN"/>
        </w:rPr>
        <w:t>26</w:t>
      </w:r>
      <w:r>
        <w:rPr>
          <w:rFonts w:hint="eastAsia" w:ascii="仿宋" w:hAnsi="仿宋" w:eastAsia="仿宋" w:cs="仿宋"/>
          <w:spacing w:val="-16"/>
          <w:sz w:val="32"/>
          <w:szCs w:val="32"/>
          <w:highlight w:val="none"/>
        </w:rPr>
        <w:t>日</w:t>
      </w:r>
    </w:p>
    <w:p w14:paraId="7EEA784F">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309A3D5A">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none"/>
        </w:rPr>
      </w:pPr>
    </w:p>
    <w:p w14:paraId="3543E193">
      <w:pPr>
        <w:keepNext w:val="0"/>
        <w:keepLines w:val="0"/>
        <w:pageBreakBefore w:val="0"/>
        <w:widowControl w:val="0"/>
        <w:tabs>
          <w:tab w:val="left" w:pos="5667"/>
        </w:tabs>
        <w:kinsoku/>
        <w:wordWrap/>
        <w:overflowPunct w:val="0"/>
        <w:topLinePunct/>
        <w:autoSpaceDE w:val="0"/>
        <w:autoSpaceDN w:val="0"/>
        <w:bidi w:val="0"/>
        <w:adjustRightInd w:val="0"/>
        <w:snapToGrid w:val="0"/>
        <w:spacing w:line="460" w:lineRule="exact"/>
        <w:ind w:right="0" w:firstLine="576" w:firstLineChars="200"/>
        <w:jc w:val="center"/>
        <w:textAlignment w:val="baseline"/>
        <w:rPr>
          <w:rFonts w:hint="eastAsia" w:ascii="仿宋" w:hAnsi="仿宋" w:eastAsia="仿宋" w:cs="仿宋"/>
          <w:spacing w:val="-16"/>
          <w:sz w:val="32"/>
          <w:szCs w:val="32"/>
          <w:highlight w:val="yellow"/>
        </w:rPr>
      </w:pPr>
    </w:p>
    <w:p w14:paraId="7EEF7F47">
      <w:pPr>
        <w:spacing w:line="520" w:lineRule="exact"/>
        <w:ind w:firstLine="160" w:firstLineChars="50"/>
        <w:jc w:val="both"/>
        <w:rPr>
          <w:rFonts w:ascii="仿宋_GB2312" w:hAnsi="黑体" w:eastAsia="仿宋_GB2312" w:cs="Times New Roman"/>
          <w:sz w:val="32"/>
          <w:szCs w:val="32"/>
        </w:rPr>
      </w:pPr>
      <w:r>
        <w:rPr>
          <w:rFonts w:hint="eastAsia" w:ascii="仿宋_GB2312" w:hAnsi="黑体" w:eastAsia="仿宋_GB2312" w:cs="仿宋_GB2312"/>
          <w:sz w:val="32"/>
          <w:szCs w:val="32"/>
        </w:rPr>
        <w:t>（</w:t>
      </w:r>
      <w:r>
        <w:rPr>
          <w:rFonts w:hint="eastAsia" w:ascii="黑体" w:hAnsi="黑体" w:eastAsia="黑体" w:cs="黑体"/>
          <w:b/>
          <w:bCs/>
          <w:sz w:val="32"/>
          <w:szCs w:val="32"/>
        </w:rPr>
        <w:t>市场监督管理部门将依法向社会公示本行政处罚决定信息</w:t>
      </w:r>
      <w:r>
        <w:rPr>
          <w:rFonts w:hint="eastAsia" w:ascii="仿宋_GB2312" w:hAnsi="黑体" w:eastAsia="仿宋_GB2312" w:cs="仿宋_GB2312"/>
          <w:sz w:val="32"/>
          <w:szCs w:val="32"/>
        </w:rPr>
        <w:t>）</w:t>
      </w:r>
    </w:p>
    <w:p w14:paraId="6A541D61">
      <w:pPr>
        <w:spacing w:line="26" w:lineRule="exact"/>
        <w:textAlignment w:val="center"/>
        <w:rPr>
          <w:sz w:val="32"/>
          <w:szCs w:val="32"/>
        </w:rPr>
      </w:pPr>
      <w:r>
        <w:rPr>
          <w:sz w:val="32"/>
          <w:szCs w:val="32"/>
        </w:rPr>
        <w:drawing>
          <wp:inline distT="0" distB="0" distL="0" distR="0">
            <wp:extent cx="5605145" cy="45085"/>
            <wp:effectExtent l="0" t="0" r="0" b="0"/>
            <wp:docPr id="241" name="IM 241"/>
            <wp:cNvGraphicFramePr/>
            <a:graphic xmlns:a="http://schemas.openxmlformats.org/drawingml/2006/main">
              <a:graphicData uri="http://schemas.openxmlformats.org/drawingml/2006/picture">
                <pic:pic xmlns:pic="http://schemas.openxmlformats.org/drawingml/2006/picture">
                  <pic:nvPicPr>
                    <pic:cNvPr id="241" name="IM 241"/>
                    <pic:cNvPicPr/>
                  </pic:nvPicPr>
                  <pic:blipFill>
                    <a:blip r:embed="rId6"/>
                    <a:stretch>
                      <a:fillRect/>
                    </a:stretch>
                  </pic:blipFill>
                  <pic:spPr>
                    <a:xfrm>
                      <a:off x="0" y="0"/>
                      <a:ext cx="9241634" cy="75380"/>
                    </a:xfrm>
                    <a:prstGeom prst="rect">
                      <a:avLst/>
                    </a:prstGeom>
                  </pic:spPr>
                </pic:pic>
              </a:graphicData>
            </a:graphic>
          </wp:inline>
        </w:drawing>
      </w:r>
    </w:p>
    <w:p w14:paraId="3DF3040E">
      <w:pPr>
        <w:spacing w:before="106" w:line="183" w:lineRule="auto"/>
        <w:rPr>
          <w:rFonts w:ascii="Microsoft JhengHei"/>
          <w:sz w:val="32"/>
          <w:szCs w:val="32"/>
        </w:rPr>
      </w:pPr>
      <w:r>
        <w:rPr>
          <w:rFonts w:ascii="仿宋" w:hAnsi="仿宋" w:eastAsia="仿宋" w:cs="仿宋"/>
          <w:spacing w:val="-10"/>
          <w:sz w:val="32"/>
          <w:szCs w:val="32"/>
        </w:rPr>
        <w:t>本文书一式</w:t>
      </w:r>
      <w:r>
        <w:rPr>
          <w:rFonts w:hint="eastAsia" w:ascii="仿宋" w:hAnsi="仿宋" w:eastAsia="仿宋" w:cs="仿宋"/>
          <w:spacing w:val="6"/>
          <w:sz w:val="32"/>
          <w:szCs w:val="32"/>
          <w:u w:val="single"/>
          <w:lang w:eastAsia="zh-CN"/>
        </w:rPr>
        <w:t>两</w:t>
      </w:r>
      <w:r>
        <w:rPr>
          <w:rFonts w:ascii="仿宋" w:hAnsi="仿宋" w:eastAsia="仿宋" w:cs="仿宋"/>
          <w:spacing w:val="-10"/>
          <w:sz w:val="32"/>
          <w:szCs w:val="32"/>
        </w:rPr>
        <w:t>份，</w:t>
      </w:r>
      <w:r>
        <w:rPr>
          <w:rFonts w:hint="eastAsia" w:ascii="仿宋" w:hAnsi="仿宋" w:eastAsia="仿宋" w:cs="仿宋"/>
          <w:spacing w:val="20"/>
          <w:sz w:val="32"/>
          <w:szCs w:val="32"/>
          <w:u w:val="single"/>
        </w:rPr>
        <w:t>一</w:t>
      </w:r>
      <w:r>
        <w:rPr>
          <w:rFonts w:ascii="仿宋" w:hAnsi="仿宋" w:eastAsia="仿宋" w:cs="仿宋"/>
          <w:spacing w:val="-10"/>
          <w:sz w:val="32"/>
          <w:szCs w:val="32"/>
        </w:rPr>
        <w:t>份送达，</w:t>
      </w:r>
      <w:r>
        <w:rPr>
          <w:rFonts w:ascii="仿宋" w:hAnsi="仿宋" w:eastAsia="仿宋" w:cs="仿宋"/>
          <w:spacing w:val="-10"/>
          <w:sz w:val="32"/>
          <w:szCs w:val="32"/>
          <w:u w:val="single"/>
        </w:rPr>
        <w:t>一</w:t>
      </w:r>
      <w:r>
        <w:rPr>
          <w:rFonts w:ascii="仿宋" w:hAnsi="仿宋" w:eastAsia="仿宋" w:cs="仿宋"/>
          <w:spacing w:val="-10"/>
          <w:sz w:val="32"/>
          <w:szCs w:val="32"/>
        </w:rPr>
        <w:t>份归档。</w:t>
      </w:r>
    </w:p>
    <w:sectPr>
      <w:headerReference r:id="rId3" w:type="default"/>
      <w:footerReference r:id="rId4" w:type="default"/>
      <w:pgSz w:w="11906" w:h="16838"/>
      <w:pgMar w:top="1587" w:right="1304" w:bottom="1020" w:left="1304" w:header="851" w:footer="147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92380">
    <w:pPr>
      <w:pStyle w:val="2"/>
      <w:jc w:val="center"/>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97898828"/>
                            <w:docPartObj>
                              <w:docPartGallery w:val="autotext"/>
                            </w:docPartObj>
                          </w:sdtPr>
                          <w:sdtEndPr>
                            <w:rPr>
                              <w:rFonts w:ascii="宋体" w:hAnsi="宋体" w:eastAsia="宋体"/>
                              <w:sz w:val="28"/>
                              <w:szCs w:val="28"/>
                            </w:rPr>
                          </w:sdtEndPr>
                          <w:sdtContent>
                            <w:p w14:paraId="291A351E">
                              <w:pPr>
                                <w:pStyle w:val="2"/>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p>
                          </w:sdtContent>
                        </w:sdt>
                        <w:p w14:paraId="2AC0191C">
                          <w:pPr>
                            <w:rPr>
                              <w:rFonts w:ascii="宋体" w:hAnsi="宋体" w:eastAsia="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897898828"/>
                      <w:docPartObj>
                        <w:docPartGallery w:val="autotext"/>
                      </w:docPartObj>
                    </w:sdtPr>
                    <w:sdtEndPr>
                      <w:rPr>
                        <w:rFonts w:ascii="宋体" w:hAnsi="宋体" w:eastAsia="宋体"/>
                        <w:sz w:val="28"/>
                        <w:szCs w:val="28"/>
                      </w:rPr>
                    </w:sdtEndPr>
                    <w:sdtContent>
                      <w:p w14:paraId="291A351E">
                        <w:pPr>
                          <w:pStyle w:val="2"/>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p>
                    </w:sdtContent>
                  </w:sdt>
                  <w:p w14:paraId="2AC0191C">
                    <w:pPr>
                      <w:rPr>
                        <w:rFonts w:ascii="宋体" w:hAnsi="宋体" w:eastAsia="宋体"/>
                        <w:sz w:val="28"/>
                        <w:szCs w:val="28"/>
                      </w:rPr>
                    </w:pPr>
                  </w:p>
                </w:txbxContent>
              </v:textbox>
            </v:shape>
          </w:pict>
        </mc:Fallback>
      </mc:AlternateContent>
    </w:r>
  </w:p>
  <w:p w14:paraId="6AEFB22B">
    <w:pPr>
      <w:spacing w:line="196" w:lineRule="exact"/>
      <w:ind w:firstLine="16"/>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AC4A4">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64"/>
    <w:rsid w:val="00011250"/>
    <w:rsid w:val="0006458B"/>
    <w:rsid w:val="001B09C8"/>
    <w:rsid w:val="00272CCB"/>
    <w:rsid w:val="003A066B"/>
    <w:rsid w:val="00411704"/>
    <w:rsid w:val="0042018D"/>
    <w:rsid w:val="00421F22"/>
    <w:rsid w:val="005F7EE0"/>
    <w:rsid w:val="00695479"/>
    <w:rsid w:val="006D3373"/>
    <w:rsid w:val="00765618"/>
    <w:rsid w:val="007D7DAD"/>
    <w:rsid w:val="00812C37"/>
    <w:rsid w:val="009113AF"/>
    <w:rsid w:val="009964E4"/>
    <w:rsid w:val="00A166EC"/>
    <w:rsid w:val="00AC1222"/>
    <w:rsid w:val="00AE72B4"/>
    <w:rsid w:val="00B34642"/>
    <w:rsid w:val="00B71E1E"/>
    <w:rsid w:val="00CC1344"/>
    <w:rsid w:val="00D50B64"/>
    <w:rsid w:val="00E450A1"/>
    <w:rsid w:val="00EA1240"/>
    <w:rsid w:val="00F745B0"/>
    <w:rsid w:val="00F967E2"/>
    <w:rsid w:val="0CB06EE6"/>
    <w:rsid w:val="10230B91"/>
    <w:rsid w:val="172F1636"/>
    <w:rsid w:val="18AC028C"/>
    <w:rsid w:val="193A32DB"/>
    <w:rsid w:val="1AD20781"/>
    <w:rsid w:val="1D916374"/>
    <w:rsid w:val="21A7378A"/>
    <w:rsid w:val="22E1350F"/>
    <w:rsid w:val="24157D1E"/>
    <w:rsid w:val="24664537"/>
    <w:rsid w:val="28FB06D1"/>
    <w:rsid w:val="2EF95D41"/>
    <w:rsid w:val="2F7E32B9"/>
    <w:rsid w:val="30AA3BA7"/>
    <w:rsid w:val="33F40EDF"/>
    <w:rsid w:val="3A3F455E"/>
    <w:rsid w:val="3E051409"/>
    <w:rsid w:val="3E0B273F"/>
    <w:rsid w:val="3E1A64EC"/>
    <w:rsid w:val="43DF7957"/>
    <w:rsid w:val="47362EE5"/>
    <w:rsid w:val="47D81055"/>
    <w:rsid w:val="4B00797C"/>
    <w:rsid w:val="4D2C27D2"/>
    <w:rsid w:val="52CB2131"/>
    <w:rsid w:val="54AA4319"/>
    <w:rsid w:val="55D0407C"/>
    <w:rsid w:val="57FA3DA1"/>
    <w:rsid w:val="59DB630F"/>
    <w:rsid w:val="5ABC1BDC"/>
    <w:rsid w:val="62D561CB"/>
    <w:rsid w:val="77091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table" w:customStyle="1" w:styleId="6">
    <w:name w:val="Table Normal"/>
    <w:unhideWhenUsed/>
    <w:qFormat/>
    <w:uiPriority w:val="0"/>
    <w:rPr>
      <w:rFonts w:ascii="Arial" w:hAnsi="Arial" w:cs="Arial"/>
      <w:kern w:val="0"/>
      <w:sz w:val="20"/>
      <w:szCs w:val="20"/>
    </w:rPr>
    <w:tblPr>
      <w:tblCellMar>
        <w:top w:w="0" w:type="dxa"/>
        <w:left w:w="0" w:type="dxa"/>
        <w:bottom w:w="0" w:type="dxa"/>
        <w:right w:w="0" w:type="dxa"/>
      </w:tblCellMar>
    </w:tblPr>
  </w:style>
  <w:style w:type="character" w:customStyle="1" w:styleId="7">
    <w:name w:val="页眉 字符"/>
    <w:basedOn w:val="5"/>
    <w:link w:val="3"/>
    <w:qFormat/>
    <w:uiPriority w:val="99"/>
    <w:rPr>
      <w:rFonts w:ascii="Arial" w:hAnsi="Arial" w:eastAsia="Arial" w:cs="Arial"/>
      <w:snapToGrid w:val="0"/>
      <w:color w:val="000000"/>
      <w:kern w:val="0"/>
      <w:sz w:val="18"/>
      <w:szCs w:val="18"/>
    </w:rPr>
  </w:style>
  <w:style w:type="character" w:customStyle="1" w:styleId="8">
    <w:name w:val="页脚 字符"/>
    <w:basedOn w:val="5"/>
    <w:link w:val="2"/>
    <w:qFormat/>
    <w:uiPriority w:val="99"/>
    <w:rPr>
      <w:rFonts w:ascii="Arial" w:hAnsi="Arial" w:eastAsia="Arial" w:cs="Arial"/>
      <w:snapToGrid w:val="0"/>
      <w:color w:val="000000"/>
      <w:kern w:val="0"/>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49ce37a0-3ae7-4731-8c21-7af32c34b952</errorID>
      <errorWord>(</errorWord>
      <group>L1_Format</group>
      <groupName>格式问题</groupName>
      <ability>L2_HalfPunc</ability>
      <abilityName>全半角检查</abilityName>
      <candidateList>
        <item>（</item>
      </candidateList>
      <explain>文本全半角错误。</explain>
      <paraID>171431A7</paraID>
      <start>161</start>
      <end>162</end>
      <status>unmodified</status>
      <modifiedWord/>
      <trackRevisions>false</trackRevisions>
    </reviewItem>
    <reviewItem>
      <errorID>faf5812c-5a6a-4cfd-9c88-dce8cbd3470e</errorID>
      <errorWord>)</errorWord>
      <group>L1_Format</group>
      <groupName>格式问题</groupName>
      <ability>L2_HalfPunc</ability>
      <abilityName>全半角检查</abilityName>
      <candidateList>
        <item>）</item>
      </candidateList>
      <explain>文本全半角错误。</explain>
      <paraID>171431A7</paraID>
      <start>167</start>
      <end>168</end>
      <status>unmodified</status>
      <modifiedWord/>
      <trackRevisions>false</trackRevisions>
    </reviewItem>
    <reviewItem>
      <errorID>f58a05ac-916a-423e-8924-5f272a81064b</errorID>
      <errorWord>(</errorWord>
      <group>L1_Format</group>
      <groupName>格式问题</groupName>
      <ability>L2_HalfPunc</ability>
      <abilityName>全半角检查</abilityName>
      <candidateList>
        <item>（</item>
      </candidateList>
      <explain>文本全半角错误。</explain>
      <paraID> 7D664F1</paraID>
      <start>66</start>
      <end>67</end>
      <status>unmodified</status>
      <modifiedWord/>
      <trackRevisions>false</trackRevisions>
    </reviewItem>
    <reviewItem>
      <errorID>dc9886dc-0d0e-4877-836d-b1a63376a584</errorID>
      <errorWord>)</errorWord>
      <group>L1_Format</group>
      <groupName>格式问题</groupName>
      <ability>L2_HalfPunc</ability>
      <abilityName>全半角检查</abilityName>
      <candidateList>
        <item>）</item>
      </candidateList>
      <explain>文本全半角错误。</explain>
      <paraID> 7D664F1</paraID>
      <start>72</start>
      <end>73</end>
      <status>unmodified</status>
      <modifiedWord/>
      <trackRevisions>false</trackRevisions>
    </reviewItem>
    <reviewItem>
      <errorID>2c238e4f-62ca-4162-86c7-d11ef2b3b1c2</errorID>
      <errorWord>身份证</errorWord>
      <group>L1_Sensitive</group>
      <groupName>敏感问题</groupName>
      <ability>L2_UserSensitive</ability>
      <abilityName>自定义敏感词</abilityName>
      <candidateList/>
      <explain>来自自定义敏感词库。</explain>
      <paraID>5276A506</paraID>
      <start>64</start>
      <end>67</end>
      <status>unmodified</status>
      <modifiedWord/>
      <trackRevisions>false</trackRevisions>
    </reviewItem>
    <reviewItem>
      <errorID>0966920b-9db8-485f-8f78-78dce5a1de79</errorID>
      <errorWord>,</errorWord>
      <group>L1_Format</group>
      <groupName>格式问题</groupName>
      <ability>L2_HalfPunc</ability>
      <abilityName>全半角检查</abilityName>
      <candidateList>
        <item>，</item>
      </candidateList>
      <explain>文本全半角错误。</explain>
      <paraID>7B9A3E41</paraID>
      <start>92</start>
      <end>93</end>
      <status>unmodified</status>
      <modifiedWord/>
      <trackRevisions>false</trackRevisions>
    </reviewItem>
    <reviewItem>
      <errorID>980c3433-ce32-43f5-9278-1e67b7c98771</errorID>
      <errorWord>,</errorWord>
      <group>L1_Format</group>
      <groupName>格式问题</groupName>
      <ability>L2_HalfPunc</ability>
      <abilityName>全半角检查</abilityName>
      <candidateList>
        <item>，</item>
      </candidateList>
      <explain>文本全半角错误。</explain>
      <paraID>7B9A3E41</paraID>
      <start>110</start>
      <end>111</end>
      <status>unmodified</status>
      <modifiedWord/>
      <trackRevisions>false</trackRevisions>
    </reviewItem>
    <reviewItem>
      <errorID>94c2f39a-85f9-4aef-bc5b-556a343fdea1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77E67D3E</paraID>
      <start>0</start>
      <end>2</end>
      <status>unmodified</status>
      <modifiedWord/>
      <trackRevisions>false</trackRevisions>
    </reviewItem>
    <reviewItem>
      <errorID>a4a15dee-235e-4730-a406-aeb6b8f3e972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1E295C6A</paraID>
      <start>0</start>
      <end>2</end>
      <status>unmodified</status>
      <modifiedWord/>
      <trackRevisions>false</trackRevisions>
    </reviewItem>
    <reviewItem>
      <errorID>948006be-06bf-4335-a500-3302e5a665ef</errorID>
      <errorWord>法律、法规</errorWord>
      <group>L1_Word</group>
      <groupName>字词问题</groupName>
      <ability>L2_Typo</ability>
      <abilityName>字词错误</abilityName>
      <candidateList>
        <item>法律法规</item>
      </candidateList>
      <explain/>
      <paraID>2BD39A7B</paraID>
      <start>104</start>
      <end>109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c1a8fb-e438-4245-ba67-7db7dc849e49}">
  <ds:schemaRefs/>
</ds:datastoreItem>
</file>

<file path=docProps/app.xml><?xml version="1.0" encoding="utf-8"?>
<Properties xmlns="http://schemas.openxmlformats.org/officeDocument/2006/extended-properties" xmlns:vt="http://schemas.openxmlformats.org/officeDocument/2006/docPropsVTypes">
  <Template>Normal</Template>
  <Pages>4</Pages>
  <Words>1719</Words>
  <Characters>1898</Characters>
  <Lines>13</Lines>
  <Paragraphs>3</Paragraphs>
  <TotalTime>3</TotalTime>
  <ScaleCrop>false</ScaleCrop>
  <LinksUpToDate>false</LinksUpToDate>
  <CharactersWithSpaces>1943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2021-11-29T08:30:00Z</dcterms:created>
  <dc:creator>李海晖</dc:creator>
  <cp:lastModifiedBy>天天8871</cp:lastModifiedBy>
  <cp:lastPrinted>2026-02-25T07:19:00Z</cp:lastPrinted>
  <dcterms:modified xsi:type="dcterms:W3CDTF">2026-03-05T02:00:59Z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1B69AC5EE4874CB690542F648C2CCDCC</vt:lpwstr>
  </property>
  <property fmtid="{D5CDD505-2E9C-101B-9397-08002B2CF9AE}" pid="4" name="KSOTemplateDocerSaveRecord">
    <vt:lpwstr>eyJoZGlkIjoiOTQ4NzBkNmM4Yzk5NTU5YTIwNTkxZTRlZDYxMzgyNTAiLCJ1c2VySWQiOiI3MjUzNTA0OTgifQ==</vt:lpwstr>
  </property>
</Properties>
</file>