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eastAsia="方正小标宋简体"/>
          <w:color w:val="000000"/>
          <w:sz w:val="44"/>
          <w:szCs w:val="44"/>
        </w:rPr>
      </w:pPr>
      <w:r>
        <w:rPr>
          <w:rFonts w:hint="eastAsia" w:eastAsia="方正小标宋简体" w:cs="方正小标宋简体"/>
          <w:color w:val="000000"/>
          <w:sz w:val="44"/>
          <w:szCs w:val="44"/>
        </w:rPr>
        <w:t>晋江市市场监督管理局</w:t>
      </w:r>
    </w:p>
    <w:p>
      <w:pPr>
        <w:spacing w:line="640" w:lineRule="exact"/>
        <w:jc w:val="center"/>
        <w:rPr>
          <w:rFonts w:hint="eastAsia" w:eastAsia="方正小标宋简体" w:cs="方正小标宋简体"/>
          <w:color w:val="000000"/>
          <w:sz w:val="44"/>
          <w:szCs w:val="44"/>
        </w:rPr>
      </w:pPr>
      <w:r>
        <w:rPr>
          <w:rFonts w:hint="eastAsia" w:eastAsia="方正小标宋简体" w:cs="方正小标宋简体"/>
          <w:color w:val="000000"/>
          <w:sz w:val="44"/>
          <w:szCs w:val="44"/>
          <w:lang w:val="en-US" w:eastAsia="zh-CN"/>
        </w:rPr>
        <w:t xml:space="preserve"> </w:t>
      </w:r>
      <w:r>
        <w:rPr>
          <w:rFonts w:hint="eastAsia" w:eastAsia="方正小标宋简体" w:cs="方正小标宋简体"/>
          <w:color w:val="000000"/>
          <w:sz w:val="44"/>
          <w:szCs w:val="44"/>
        </w:rPr>
        <w:t>行政处罚</w:t>
      </w:r>
      <w:r>
        <w:rPr>
          <w:rFonts w:hint="eastAsia" w:eastAsia="方正小标宋简体" w:cs="方正小标宋简体"/>
          <w:color w:val="000000"/>
          <w:sz w:val="44"/>
          <w:szCs w:val="44"/>
          <w:lang w:eastAsia="zh-CN"/>
        </w:rPr>
        <w:t>决定</w:t>
      </w:r>
      <w:r>
        <w:rPr>
          <w:rFonts w:hint="eastAsia" w:eastAsia="方正小标宋简体" w:cs="方正小标宋简体"/>
          <w:color w:val="000000"/>
          <w:sz w:val="44"/>
          <w:szCs w:val="44"/>
        </w:rPr>
        <w:t>书</w:t>
      </w:r>
    </w:p>
    <w:p>
      <w:pPr>
        <w:jc w:val="center"/>
        <w:rPr>
          <w:rFonts w:hint="eastAsia" w:ascii="仿宋_GB2312" w:hAnsi="仿宋" w:eastAsia="仿宋_GB2312" w:cs="仿宋_GB2312"/>
          <w:sz w:val="32"/>
          <w:szCs w:val="32"/>
        </w:rPr>
      </w:pPr>
      <w:r>
        <w:rPr>
          <w:rFonts w:hint="eastAsia" w:ascii="仿宋_GB2312" w:hAnsi="仿宋" w:eastAsia="仿宋_GB2312" w:cs="仿宋_GB2312"/>
          <w:sz w:val="32"/>
          <w:szCs w:val="32"/>
        </w:rPr>
        <w:t xml:space="preserve"> 晋</w:t>
      </w:r>
      <w:r>
        <w:rPr>
          <w:rFonts w:ascii="仿宋_GB2312" w:hAnsi="仿宋" w:eastAsia="仿宋_GB2312" w:cs="仿宋_GB2312"/>
          <w:sz w:val="32"/>
          <w:szCs w:val="32"/>
        </w:rPr>
        <w:t>市监</w:t>
      </w:r>
      <w:r>
        <w:rPr>
          <w:rFonts w:hint="eastAsia" w:ascii="仿宋_GB2312" w:hAnsi="仿宋" w:eastAsia="仿宋_GB2312" w:cs="仿宋_GB2312"/>
          <w:sz w:val="32"/>
          <w:szCs w:val="32"/>
          <w:lang w:eastAsia="zh-CN"/>
        </w:rPr>
        <w:t>处罚</w:t>
      </w:r>
      <w:r>
        <w:rPr>
          <w:rFonts w:ascii="仿宋_GB2312" w:hAnsi="仿宋" w:eastAsia="仿宋_GB2312" w:cs="仿宋_GB2312"/>
          <w:sz w:val="32"/>
          <w:szCs w:val="32"/>
        </w:rPr>
        <w:t>〔</w:t>
      </w:r>
      <w:r>
        <w:rPr>
          <w:rFonts w:hint="eastAsia" w:ascii="仿宋_GB2312" w:hAnsi="仿宋" w:eastAsia="仿宋_GB2312" w:cs="仿宋_GB2312"/>
          <w:sz w:val="32"/>
          <w:szCs w:val="32"/>
        </w:rPr>
        <w:t>202</w:t>
      </w:r>
      <w:r>
        <w:rPr>
          <w:rFonts w:hint="eastAsia" w:ascii="仿宋_GB2312" w:hAnsi="仿宋" w:eastAsia="仿宋_GB2312" w:cs="仿宋_GB2312"/>
          <w:sz w:val="32"/>
          <w:szCs w:val="32"/>
          <w:lang w:val="en-US" w:eastAsia="zh-CN"/>
        </w:rPr>
        <w:t>5</w:t>
      </w:r>
      <w:r>
        <w:rPr>
          <w:rFonts w:ascii="仿宋_GB2312" w:hAnsi="仿宋" w:eastAsia="仿宋_GB2312" w:cs="仿宋_GB2312"/>
          <w:sz w:val="32"/>
          <w:szCs w:val="32"/>
        </w:rPr>
        <w:t>〕</w:t>
      </w:r>
      <w:r>
        <w:rPr>
          <w:rFonts w:hint="eastAsia" w:ascii="仿宋_GB2312" w:hAnsi="仿宋" w:eastAsia="仿宋_GB2312" w:cs="仿宋_GB2312"/>
          <w:sz w:val="32"/>
          <w:szCs w:val="32"/>
        </w:rPr>
        <w:t>21-</w:t>
      </w:r>
      <w:r>
        <w:rPr>
          <w:rFonts w:hint="eastAsia" w:ascii="仿宋_GB2312" w:hAnsi="仿宋" w:eastAsia="仿宋_GB2312" w:cs="仿宋_GB2312"/>
          <w:sz w:val="32"/>
          <w:szCs w:val="32"/>
          <w:lang w:val="en-US" w:eastAsia="zh-CN"/>
        </w:rPr>
        <w:t>23</w:t>
      </w:r>
      <w:r>
        <w:rPr>
          <w:rFonts w:ascii="仿宋_GB2312" w:hAnsi="仿宋" w:eastAsia="仿宋_GB2312" w:cs="仿宋_GB2312"/>
          <w:sz w:val="32"/>
          <w:szCs w:val="32"/>
        </w:rPr>
        <w:t>号</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jc w:val="left"/>
        <w:textAlignment w:val="auto"/>
        <w:rPr>
          <w:rFonts w:ascii="仿宋_GB2312" w:hAnsi="仿宋" w:eastAsia="仿宋_GB2312" w:cs="仿宋_GB2312"/>
          <w:color w:val="000000"/>
          <w:sz w:val="32"/>
          <w:szCs w:val="32"/>
        </w:rPr>
      </w:pPr>
      <w:r>
        <w:rPr>
          <w:rFonts w:hint="eastAsia" w:ascii="仿宋_GB2312" w:hAnsi="仿宋" w:eastAsia="仿宋_GB2312" w:cs="仿宋_GB2312"/>
          <w:color w:val="000000"/>
          <w:sz w:val="32"/>
          <w:szCs w:val="32"/>
        </w:rPr>
        <w:t>当事人：</w:t>
      </w:r>
      <w:r>
        <w:rPr>
          <w:rFonts w:hint="eastAsia" w:ascii="仿宋_GB2312" w:hAnsi="仿宋_GB2312" w:eastAsia="仿宋_GB2312" w:cs="仿宋_GB2312"/>
          <w:color w:val="000000"/>
          <w:sz w:val="32"/>
          <w:szCs w:val="32"/>
        </w:rPr>
        <w:t>晋江市</w:t>
      </w:r>
      <w:r>
        <w:rPr>
          <w:rFonts w:hint="eastAsia" w:ascii="仿宋_GB2312" w:hAnsi="仿宋_GB2312" w:eastAsia="仿宋_GB2312" w:cs="仿宋_GB2312"/>
          <w:color w:val="000000"/>
          <w:sz w:val="32"/>
          <w:szCs w:val="32"/>
          <w:lang w:eastAsia="zh-CN"/>
        </w:rPr>
        <w:t>仁福大药房</w:t>
      </w:r>
      <w:r>
        <w:rPr>
          <w:rFonts w:hint="eastAsia" w:ascii="仿宋_GB2312" w:hAnsi="仿宋_GB2312" w:eastAsia="仿宋_GB2312" w:cs="仿宋_GB2312"/>
          <w:color w:val="000000"/>
          <w:sz w:val="32"/>
          <w:szCs w:val="32"/>
        </w:rPr>
        <w:t>有限公司</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 w:eastAsia="仿宋_GB2312" w:cs="仿宋_GB2312"/>
          <w:color w:val="000000"/>
          <w:sz w:val="32"/>
          <w:szCs w:val="32"/>
        </w:rPr>
        <w:t>统一社会信用代码：</w:t>
      </w:r>
      <w:r>
        <w:rPr>
          <w:rFonts w:hint="eastAsia" w:ascii="仿宋_GB2312" w:hAnsi="仿宋_GB2312" w:eastAsia="仿宋_GB2312" w:cs="仿宋_GB2312"/>
          <w:color w:val="000000"/>
          <w:sz w:val="32"/>
          <w:szCs w:val="32"/>
        </w:rPr>
        <w:t>91350582MA8TB704XC</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 w:eastAsia="仿宋_GB2312" w:cs="仿宋_GB2312"/>
          <w:color w:val="000000"/>
          <w:sz w:val="32"/>
          <w:szCs w:val="32"/>
        </w:rPr>
        <w:t>住所（住址）：</w:t>
      </w:r>
      <w:r>
        <w:rPr>
          <w:rFonts w:hint="eastAsia" w:ascii="仿宋_GB2312" w:hAnsi="仿宋_GB2312" w:eastAsia="仿宋_GB2312" w:cs="仿宋_GB2312"/>
          <w:color w:val="000000"/>
          <w:sz w:val="32"/>
          <w:szCs w:val="32"/>
        </w:rPr>
        <w:t>福建省泉州市晋江市梅岭街道竹树下社区竹晖路</w:t>
      </w:r>
      <w:r>
        <w:rPr>
          <w:rFonts w:hint="eastAsia" w:ascii="仿宋_GB2312" w:hAnsi="仿宋_GB2312" w:eastAsia="仿宋_GB2312" w:cs="仿宋_GB2312"/>
          <w:color w:val="000000"/>
          <w:sz w:val="32"/>
          <w:szCs w:val="32"/>
          <w:lang w:val="en-US" w:eastAsia="zh-CN"/>
        </w:rPr>
        <w:t>*</w:t>
      </w:r>
      <w:r>
        <w:rPr>
          <w:rFonts w:hint="eastAsia" w:ascii="仿宋_GB2312" w:hAnsi="仿宋_GB2312" w:eastAsia="仿宋_GB2312" w:cs="仿宋_GB2312"/>
          <w:color w:val="000000"/>
          <w:sz w:val="32"/>
          <w:szCs w:val="32"/>
        </w:rPr>
        <w:t>号</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jc w:val="left"/>
        <w:textAlignment w:val="auto"/>
        <w:rPr>
          <w:rFonts w:hint="eastAsia" w:ascii="仿宋_GB2312" w:hAnsi="仿宋_GB2312" w:eastAsia="仿宋_GB2312" w:cs="仿宋_GB2312"/>
          <w:color w:val="000000"/>
          <w:sz w:val="32"/>
          <w:szCs w:val="32"/>
          <w:lang w:eastAsia="zh-CN"/>
        </w:rPr>
      </w:pPr>
      <w:r>
        <w:rPr>
          <w:rFonts w:hint="eastAsia" w:ascii="仿宋_GB2312" w:hAnsi="仿宋" w:eastAsia="仿宋_GB2312" w:cs="仿宋_GB2312"/>
          <w:color w:val="000000"/>
          <w:sz w:val="32"/>
          <w:szCs w:val="32"/>
        </w:rPr>
        <w:t>法人代表人（负责人、经营者）：</w:t>
      </w:r>
      <w:r>
        <w:rPr>
          <w:rFonts w:hint="eastAsia" w:ascii="仿宋_GB2312" w:hAnsi="仿宋_GB2312" w:eastAsia="仿宋_GB2312" w:cs="仿宋_GB2312"/>
          <w:color w:val="000000"/>
          <w:sz w:val="32"/>
          <w:szCs w:val="32"/>
          <w:lang w:eastAsia="zh-CN"/>
        </w:rPr>
        <w:t>许燕窝</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2025年4月15日，执法人员根据基层所移交线索对当事人进行检查，发现当事人</w:t>
      </w:r>
      <w:r>
        <w:rPr>
          <w:rFonts w:hint="eastAsia" w:ascii="仿宋_GB2312" w:hAnsi="仿宋_GB2312" w:eastAsia="仿宋_GB2312" w:cs="仿宋_GB2312"/>
          <w:color w:val="000000"/>
          <w:sz w:val="32"/>
          <w:szCs w:val="32"/>
          <w:lang w:eastAsia="zh-CN"/>
        </w:rPr>
        <w:t>在第三方平台美团和饿了么开设网</w:t>
      </w:r>
      <w:r>
        <w:rPr>
          <w:rFonts w:hint="eastAsia" w:ascii="仿宋_GB2312" w:hAnsi="仿宋_GB2312" w:eastAsia="仿宋_GB2312" w:cs="仿宋_GB2312"/>
          <w:color w:val="000000"/>
          <w:sz w:val="32"/>
          <w:szCs w:val="32"/>
          <w:lang w:val="en-US" w:eastAsia="zh-CN"/>
        </w:rPr>
        <w:t>店“仁福大药房（竹晖路店）”网络销</w:t>
      </w:r>
      <w:r>
        <w:rPr>
          <w:rFonts w:hint="eastAsia" w:ascii="仿宋_GB2312" w:hAnsi="仿宋_GB2312" w:eastAsia="仿宋_GB2312" w:cs="仿宋_GB2312"/>
          <w:color w:val="000000"/>
          <w:sz w:val="32"/>
          <w:szCs w:val="32"/>
          <w:lang w:eastAsia="zh-CN"/>
        </w:rPr>
        <w:t>售医疗器</w:t>
      </w:r>
      <w:r>
        <w:rPr>
          <w:rFonts w:hint="eastAsia" w:ascii="仿宋_GB2312" w:hAnsi="仿宋_GB2312" w:eastAsia="仿宋_GB2312" w:cs="仿宋_GB2312"/>
          <w:color w:val="000000"/>
          <w:sz w:val="32"/>
          <w:szCs w:val="32"/>
          <w:lang w:val="en-US" w:eastAsia="zh-CN"/>
        </w:rPr>
        <w:t>械，于2025年3月12日向个人消费者网络销售“朝伊康一次性使用无菌阴道扩张器”</w:t>
      </w:r>
      <w:r>
        <w:rPr>
          <w:rFonts w:hint="eastAsia" w:ascii="仿宋_GB2312" w:hAnsi="仿宋_GB2312" w:eastAsia="仿宋_GB2312" w:cs="仿宋_GB2312"/>
          <w:color w:val="000000"/>
          <w:sz w:val="32"/>
          <w:szCs w:val="32"/>
          <w:lang w:eastAsia="zh-CN"/>
        </w:rPr>
        <w:t>，该产</w:t>
      </w:r>
      <w:r>
        <w:rPr>
          <w:rFonts w:hint="eastAsia" w:ascii="仿宋_GB2312" w:hAnsi="仿宋_GB2312" w:eastAsia="仿宋_GB2312" w:cs="仿宋_GB2312"/>
          <w:color w:val="000000"/>
          <w:sz w:val="32"/>
          <w:szCs w:val="32"/>
          <w:lang w:val="en-US" w:eastAsia="zh-CN"/>
        </w:rPr>
        <w:t>品包装标签标识“适用范围：供医疗机构妇产科检查用”。当事人行为涉嫌构成将非消费者自行使用的医疗器械网络销售给消费者个人，违反《医疗器械网络销售监督管理办法》第十三条第三款规定，执法人员报领导审批后</w:t>
      </w:r>
      <w:r>
        <w:rPr>
          <w:rFonts w:hint="eastAsia" w:ascii="仿宋_GB2312" w:hAnsi="仿宋_GB2312" w:eastAsia="仿宋_GB2312" w:cs="仿宋_GB2312"/>
          <w:color w:val="000000"/>
          <w:sz w:val="32"/>
          <w:szCs w:val="32"/>
          <w:lang w:eastAsia="zh-CN"/>
        </w:rPr>
        <w:t>予以立案调查。</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eastAsia="zh-CN"/>
        </w:rPr>
        <w:t>经查实，当事人于2024年</w:t>
      </w:r>
      <w:r>
        <w:rPr>
          <w:rFonts w:hint="eastAsia" w:ascii="仿宋_GB2312" w:hAnsi="仿宋_GB2312" w:eastAsia="仿宋_GB2312" w:cs="仿宋_GB2312"/>
          <w:color w:val="000000"/>
          <w:sz w:val="32"/>
          <w:szCs w:val="32"/>
          <w:lang w:val="en-US" w:eastAsia="zh-CN"/>
        </w:rPr>
        <w:t>11月</w:t>
      </w:r>
      <w:r>
        <w:rPr>
          <w:rFonts w:hint="eastAsia" w:ascii="仿宋_GB2312" w:hAnsi="仿宋_GB2312" w:eastAsia="仿宋_GB2312" w:cs="仿宋_GB2312"/>
          <w:color w:val="000000"/>
          <w:sz w:val="32"/>
          <w:szCs w:val="32"/>
          <w:lang w:eastAsia="zh-CN"/>
        </w:rPr>
        <w:t>开始通过网络向个人消费者零售医疗器械，</w:t>
      </w:r>
      <w:r>
        <w:rPr>
          <w:rFonts w:hint="eastAsia" w:ascii="仿宋_GB2312" w:hAnsi="仿宋_GB2312" w:eastAsia="仿宋_GB2312" w:cs="仿宋_GB2312"/>
          <w:color w:val="000000"/>
          <w:sz w:val="32"/>
          <w:szCs w:val="32"/>
          <w:lang w:val="en-US" w:eastAsia="zh-CN"/>
        </w:rPr>
        <w:t>2025年3月12日向个人消费者</w:t>
      </w:r>
      <w:r>
        <w:rPr>
          <w:rFonts w:hint="eastAsia" w:ascii="仿宋_GB2312" w:hAnsi="仿宋_GB2312" w:eastAsia="仿宋_GB2312" w:cs="仿宋_GB2312"/>
          <w:color w:val="000000"/>
          <w:sz w:val="32"/>
          <w:szCs w:val="32"/>
          <w:lang w:eastAsia="zh-CN"/>
        </w:rPr>
        <w:t>销售“</w:t>
      </w:r>
      <w:r>
        <w:rPr>
          <w:rFonts w:hint="eastAsia" w:ascii="仿宋_GB2312" w:hAnsi="仿宋_GB2312" w:eastAsia="仿宋_GB2312" w:cs="仿宋_GB2312"/>
          <w:color w:val="000000"/>
          <w:sz w:val="32"/>
          <w:szCs w:val="32"/>
          <w:lang w:val="en-US" w:eastAsia="zh-CN"/>
        </w:rPr>
        <w:t>朝伊康一次性使用无菌阴道扩张器</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color w:val="000000"/>
          <w:sz w:val="32"/>
          <w:szCs w:val="32"/>
          <w:lang w:eastAsia="zh-CN"/>
        </w:rPr>
        <w:t>袋，单</w:t>
      </w:r>
      <w:bookmarkStart w:id="0" w:name="_GoBack"/>
      <w:bookmarkEnd w:id="0"/>
      <w:r>
        <w:rPr>
          <w:rFonts w:hint="eastAsia" w:ascii="仿宋_GB2312" w:hAnsi="仿宋_GB2312" w:eastAsia="仿宋_GB2312" w:cs="仿宋_GB2312"/>
          <w:color w:val="000000"/>
          <w:sz w:val="32"/>
          <w:szCs w:val="32"/>
          <w:lang w:eastAsia="zh-CN"/>
        </w:rPr>
        <w:t>价</w:t>
      </w:r>
      <w:r>
        <w:rPr>
          <w:rFonts w:hint="eastAsia" w:ascii="仿宋_GB2312" w:hAnsi="仿宋_GB2312" w:eastAsia="仿宋_GB2312" w:cs="仿宋_GB2312"/>
          <w:color w:val="000000"/>
          <w:sz w:val="32"/>
          <w:szCs w:val="32"/>
          <w:lang w:val="en-US" w:eastAsia="zh-CN"/>
        </w:rPr>
        <w:t>1元/袋，美团网平台优惠后实际销售价0.93元</w:t>
      </w:r>
      <w:r>
        <w:rPr>
          <w:rFonts w:hint="eastAsia" w:ascii="仿宋_GB2312" w:hAnsi="仿宋_GB2312" w:eastAsia="仿宋_GB2312" w:cs="仿宋_GB2312"/>
          <w:color w:val="000000"/>
          <w:sz w:val="32"/>
          <w:szCs w:val="32"/>
          <w:lang w:eastAsia="zh-CN"/>
        </w:rPr>
        <w:t>。上述产品</w:t>
      </w:r>
      <w:r>
        <w:rPr>
          <w:rFonts w:hint="eastAsia" w:ascii="仿宋_GB2312" w:hAnsi="仿宋_GB2312" w:eastAsia="仿宋_GB2312" w:cs="仿宋_GB2312"/>
          <w:color w:val="000000"/>
          <w:sz w:val="32"/>
          <w:szCs w:val="32"/>
          <w:lang w:val="en-US" w:eastAsia="zh-CN"/>
        </w:rPr>
        <w:t>包装标签标识“适用范围：供医疗机构妇产科检查用”</w:t>
      </w:r>
      <w:r>
        <w:rPr>
          <w:rFonts w:hint="eastAsia" w:ascii="仿宋_GB2312" w:hAnsi="仿宋_GB2312" w:eastAsia="仿宋_GB2312" w:cs="仿宋_GB2312"/>
          <w:color w:val="000000"/>
          <w:sz w:val="32"/>
          <w:szCs w:val="32"/>
          <w:lang w:eastAsia="zh-CN"/>
        </w:rPr>
        <w:t>。综上，当事人违法经营货值金额为</w:t>
      </w:r>
      <w:r>
        <w:rPr>
          <w:rFonts w:hint="eastAsia" w:ascii="仿宋_GB2312" w:hAnsi="仿宋_GB2312" w:eastAsia="仿宋_GB2312" w:cs="仿宋_GB2312"/>
          <w:color w:val="000000"/>
          <w:sz w:val="32"/>
          <w:szCs w:val="32"/>
          <w:lang w:val="en-US" w:eastAsia="zh-CN"/>
        </w:rPr>
        <w:t>0.93元。</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jc w:val="left"/>
        <w:textAlignment w:val="auto"/>
        <w:rPr>
          <w:rFonts w:ascii="仿宋_GB2312" w:hAnsi="仿宋" w:eastAsia="仿宋_GB2312" w:cs="仿宋_GB2312"/>
          <w:color w:val="000000"/>
          <w:sz w:val="32"/>
          <w:szCs w:val="32"/>
        </w:rPr>
      </w:pPr>
      <w:r>
        <w:rPr>
          <w:rFonts w:hint="eastAsia" w:ascii="仿宋_GB2312" w:hAnsi="仿宋" w:eastAsia="仿宋_GB2312" w:cs="仿宋_GB2312"/>
          <w:color w:val="000000"/>
          <w:sz w:val="32"/>
          <w:szCs w:val="32"/>
        </w:rPr>
        <w:t>上述事实，主要有以下证据证明：</w:t>
      </w:r>
      <w:r>
        <w:rPr>
          <w:rFonts w:hint="eastAsia" w:ascii="仿宋_GB2312" w:hAnsi="仿宋" w:eastAsia="仿宋_GB2312" w:cs="仿宋_GB2312"/>
          <w:color w:val="000000"/>
          <w:sz w:val="32"/>
          <w:szCs w:val="32"/>
          <w:lang w:eastAsia="zh-CN"/>
        </w:rPr>
        <w:t>案件线索移送材料、</w:t>
      </w:r>
      <w:r>
        <w:rPr>
          <w:rFonts w:hint="eastAsia" w:ascii="仿宋_GB2312" w:hAnsi="仿宋" w:eastAsia="仿宋_GB2312" w:cs="仿宋_GB2312"/>
          <w:color w:val="000000"/>
          <w:sz w:val="32"/>
          <w:szCs w:val="32"/>
        </w:rPr>
        <w:t>现场笔录及照片、询问笔录、</w:t>
      </w:r>
      <w:r>
        <w:rPr>
          <w:rFonts w:hint="eastAsia" w:ascii="仿宋_GB2312" w:hAnsi="仿宋" w:eastAsia="仿宋_GB2312" w:cs="仿宋_GB2312"/>
          <w:color w:val="000000"/>
          <w:sz w:val="32"/>
          <w:szCs w:val="32"/>
          <w:lang w:eastAsia="zh-CN"/>
        </w:rPr>
        <w:t>计算机数据证据提存笔录、</w:t>
      </w:r>
      <w:r>
        <w:rPr>
          <w:rFonts w:hint="eastAsia" w:ascii="仿宋_GB2312" w:hAnsi="仿宋" w:eastAsia="仿宋_GB2312" w:cs="仿宋_GB2312"/>
          <w:color w:val="000000"/>
          <w:sz w:val="32"/>
          <w:szCs w:val="32"/>
        </w:rPr>
        <w:t>产品标签照片</w:t>
      </w:r>
      <w:r>
        <w:rPr>
          <w:rFonts w:hint="eastAsia" w:ascii="仿宋_GB2312" w:hAnsi="仿宋" w:eastAsia="仿宋_GB2312" w:cs="仿宋_GB2312"/>
          <w:color w:val="000000"/>
          <w:sz w:val="32"/>
          <w:szCs w:val="32"/>
          <w:lang w:eastAsia="zh-CN"/>
        </w:rPr>
        <w:t>、《营业执照》、身份证、第二类医疗器械经营备案凭证、医疗器械网络销售信息备案告知函、</w:t>
      </w:r>
      <w:r>
        <w:rPr>
          <w:rFonts w:hint="eastAsia" w:ascii="仿宋_GB2312" w:hAnsi="仿宋_GB2312" w:eastAsia="仿宋_GB2312" w:cs="仿宋_GB2312"/>
          <w:color w:val="000000"/>
          <w:sz w:val="32"/>
          <w:szCs w:val="32"/>
          <w:lang w:val="en-US" w:eastAsia="zh-CN"/>
        </w:rPr>
        <w:t>产品进货票据、供应商营业执照及第二类医疗器械经营备案凭证</w:t>
      </w:r>
      <w:r>
        <w:rPr>
          <w:rFonts w:hint="eastAsia" w:ascii="仿宋_GB2312" w:hAnsi="仿宋" w:eastAsia="仿宋_GB2312" w:cs="仿宋_GB2312"/>
          <w:color w:val="000000"/>
          <w:sz w:val="32"/>
          <w:szCs w:val="32"/>
          <w:lang w:eastAsia="zh-CN"/>
        </w:rPr>
        <w:t>等</w:t>
      </w:r>
      <w:r>
        <w:rPr>
          <w:rFonts w:hint="eastAsia" w:ascii="仿宋_GB2312" w:hAnsi="仿宋" w:eastAsia="仿宋_GB2312" w:cs="仿宋_GB2312"/>
          <w:color w:val="000000"/>
          <w:sz w:val="32"/>
          <w:szCs w:val="32"/>
        </w:rPr>
        <w:t>复印件。</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jc w:val="left"/>
        <w:textAlignment w:val="auto"/>
        <w:rPr>
          <w:rFonts w:ascii="仿宋_GB2312" w:hAnsi="仿宋" w:eastAsia="仿宋_GB2312" w:cs="仿宋_GB2312"/>
          <w:color w:val="000000"/>
          <w:sz w:val="32"/>
          <w:szCs w:val="32"/>
        </w:rPr>
      </w:pPr>
      <w:r>
        <w:rPr>
          <w:rFonts w:hint="eastAsia" w:ascii="仿宋_GB2312" w:hAnsi="仿宋" w:eastAsia="仿宋_GB2312" w:cs="仿宋_GB2312"/>
          <w:color w:val="000000"/>
          <w:sz w:val="32"/>
          <w:szCs w:val="32"/>
        </w:rPr>
        <w:t>202</w:t>
      </w:r>
      <w:r>
        <w:rPr>
          <w:rFonts w:hint="eastAsia" w:ascii="仿宋_GB2312" w:hAnsi="仿宋" w:eastAsia="仿宋_GB2312" w:cs="仿宋_GB2312"/>
          <w:color w:val="000000"/>
          <w:sz w:val="32"/>
          <w:szCs w:val="32"/>
          <w:lang w:val="en-US" w:eastAsia="zh-CN"/>
        </w:rPr>
        <w:t>5</w:t>
      </w:r>
      <w:r>
        <w:rPr>
          <w:rFonts w:hint="eastAsia" w:ascii="仿宋_GB2312" w:hAnsi="仿宋" w:eastAsia="仿宋_GB2312" w:cs="仿宋_GB2312"/>
          <w:color w:val="000000"/>
          <w:sz w:val="32"/>
          <w:szCs w:val="32"/>
        </w:rPr>
        <w:t>年</w:t>
      </w:r>
      <w:r>
        <w:rPr>
          <w:rFonts w:hint="eastAsia" w:ascii="仿宋_GB2312" w:hAnsi="仿宋" w:eastAsia="仿宋_GB2312" w:cs="仿宋_GB2312"/>
          <w:color w:val="000000"/>
          <w:sz w:val="32"/>
          <w:szCs w:val="32"/>
          <w:lang w:val="en-US" w:eastAsia="zh-CN"/>
        </w:rPr>
        <w:t>5</w:t>
      </w:r>
      <w:r>
        <w:rPr>
          <w:rFonts w:hint="eastAsia" w:ascii="仿宋_GB2312" w:hAnsi="仿宋" w:eastAsia="仿宋_GB2312" w:cs="仿宋_GB2312"/>
          <w:color w:val="000000"/>
          <w:sz w:val="32"/>
          <w:szCs w:val="32"/>
        </w:rPr>
        <w:t>月</w:t>
      </w:r>
      <w:r>
        <w:rPr>
          <w:rFonts w:hint="eastAsia" w:ascii="仿宋_GB2312" w:hAnsi="仿宋" w:eastAsia="仿宋_GB2312" w:cs="仿宋_GB2312"/>
          <w:color w:val="000000"/>
          <w:sz w:val="32"/>
          <w:szCs w:val="32"/>
          <w:lang w:val="en-US" w:eastAsia="zh-CN"/>
        </w:rPr>
        <w:t>21</w:t>
      </w:r>
      <w:r>
        <w:rPr>
          <w:rFonts w:hint="eastAsia" w:ascii="仿宋_GB2312" w:hAnsi="仿宋" w:eastAsia="仿宋_GB2312" w:cs="仿宋_GB2312"/>
          <w:color w:val="000000"/>
          <w:sz w:val="32"/>
          <w:szCs w:val="32"/>
        </w:rPr>
        <w:t>日，本局向当事人送达了晋市监罚告</w:t>
      </w:r>
      <w:r>
        <w:rPr>
          <w:rFonts w:ascii="仿宋_GB2312" w:hAnsi="仿宋" w:eastAsia="仿宋_GB2312" w:cs="仿宋_GB2312"/>
          <w:sz w:val="32"/>
          <w:szCs w:val="32"/>
        </w:rPr>
        <w:t>〔</w:t>
      </w:r>
      <w:r>
        <w:rPr>
          <w:rFonts w:hint="eastAsia" w:ascii="仿宋_GB2312" w:hAnsi="仿宋" w:eastAsia="仿宋_GB2312" w:cs="仿宋_GB2312"/>
          <w:sz w:val="32"/>
          <w:szCs w:val="32"/>
        </w:rPr>
        <w:t>202</w:t>
      </w:r>
      <w:r>
        <w:rPr>
          <w:rFonts w:hint="eastAsia" w:ascii="仿宋_GB2312" w:hAnsi="仿宋" w:eastAsia="仿宋_GB2312" w:cs="仿宋_GB2312"/>
          <w:sz w:val="32"/>
          <w:szCs w:val="32"/>
          <w:lang w:val="en-US" w:eastAsia="zh-CN"/>
        </w:rPr>
        <w:t>5</w:t>
      </w:r>
      <w:r>
        <w:rPr>
          <w:rFonts w:ascii="仿宋_GB2312" w:hAnsi="仿宋" w:eastAsia="仿宋_GB2312" w:cs="仿宋_GB2312"/>
          <w:sz w:val="32"/>
          <w:szCs w:val="32"/>
        </w:rPr>
        <w:t>〕</w:t>
      </w:r>
      <w:r>
        <w:rPr>
          <w:rFonts w:hint="eastAsia" w:ascii="仿宋_GB2312" w:hAnsi="仿宋" w:eastAsia="仿宋_GB2312" w:cs="仿宋_GB2312"/>
          <w:color w:val="000000"/>
          <w:sz w:val="32"/>
          <w:szCs w:val="32"/>
        </w:rPr>
        <w:t>21-</w:t>
      </w:r>
      <w:r>
        <w:rPr>
          <w:rFonts w:hint="eastAsia" w:ascii="仿宋_GB2312" w:hAnsi="仿宋" w:eastAsia="仿宋_GB2312" w:cs="仿宋_GB2312"/>
          <w:color w:val="000000"/>
          <w:sz w:val="32"/>
          <w:szCs w:val="32"/>
          <w:lang w:val="en-US" w:eastAsia="zh-CN"/>
        </w:rPr>
        <w:t>21</w:t>
      </w:r>
      <w:r>
        <w:rPr>
          <w:rFonts w:hint="eastAsia" w:ascii="仿宋_GB2312" w:hAnsi="仿宋" w:eastAsia="仿宋_GB2312" w:cs="仿宋_GB2312"/>
          <w:color w:val="000000"/>
          <w:sz w:val="32"/>
          <w:szCs w:val="32"/>
        </w:rPr>
        <w:t>号《行政处罚告知书》，当事人在法定期限内未提出陈述、申辩要求。</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 w:eastAsia="仿宋_GB2312" w:cs="仿宋_GB2312"/>
          <w:color w:val="000000"/>
          <w:sz w:val="32"/>
          <w:szCs w:val="32"/>
        </w:rPr>
        <w:t>本局认为：</w:t>
      </w:r>
      <w:r>
        <w:rPr>
          <w:rFonts w:hint="eastAsia" w:ascii="仿宋_GB2312" w:hAnsi="仿宋_GB2312" w:eastAsia="仿宋_GB2312" w:cs="仿宋_GB2312"/>
          <w:color w:val="000000"/>
          <w:sz w:val="32"/>
          <w:szCs w:val="32"/>
          <w:lang w:val="en-US" w:eastAsia="zh-CN"/>
        </w:rPr>
        <w:t>鉴于当事人积极配合药品监督管理部门调查并主动提供证据材料，</w:t>
      </w:r>
      <w:r>
        <w:rPr>
          <w:rFonts w:hint="eastAsia" w:ascii="仿宋_GB2312" w:hAnsi="仿宋_GB2312" w:eastAsia="仿宋_GB2312" w:cs="仿宋_GB2312"/>
          <w:color w:val="000000"/>
          <w:sz w:val="32"/>
          <w:szCs w:val="32"/>
          <w:lang w:val="zh-CN" w:eastAsia="zh-CN"/>
        </w:rPr>
        <w:t>涉案货值金额少于 2000元，违法行为情节轻微，</w:t>
      </w:r>
      <w:r>
        <w:rPr>
          <w:rFonts w:hint="eastAsia" w:ascii="仿宋_GB2312" w:hAnsi="仿宋_GB2312" w:eastAsia="仿宋_GB2312" w:cs="仿宋_GB2312"/>
          <w:color w:val="000000"/>
          <w:sz w:val="32"/>
          <w:szCs w:val="32"/>
          <w:lang w:val="en-US" w:eastAsia="zh-CN"/>
        </w:rPr>
        <w:t>符合《福建省药品监管行政处罚裁量适用细则》第十一条第（二）（四）项可以从轻或者减轻行政处罚的情形，参照《福建省医疗器械行政处罚裁量基准（试行）》QX-68从轻情节裁量幅度依法予以从轻处罚。</w:t>
      </w:r>
    </w:p>
    <w:p>
      <w:pPr>
        <w:keepNext w:val="0"/>
        <w:keepLines w:val="0"/>
        <w:pageBreakBefore w:val="0"/>
        <w:widowControl w:val="0"/>
        <w:tabs>
          <w:tab w:val="left" w:pos="7322"/>
        </w:tabs>
        <w:kinsoku/>
        <w:wordWrap/>
        <w:overflowPunct/>
        <w:topLinePunct w:val="0"/>
        <w:autoSpaceDE/>
        <w:autoSpaceDN/>
        <w:bidi w:val="0"/>
        <w:adjustRightInd/>
        <w:snapToGrid/>
        <w:spacing w:line="440" w:lineRule="exact"/>
        <w:ind w:firstLine="640" w:firstLineChars="200"/>
        <w:jc w:val="left"/>
        <w:textAlignment w:val="auto"/>
        <w:rPr>
          <w:rFonts w:ascii="仿宋_GB2312" w:hAnsi="仿宋" w:eastAsia="仿宋_GB2312" w:cs="仿宋_GB2312"/>
          <w:color w:val="000000"/>
          <w:sz w:val="32"/>
          <w:szCs w:val="32"/>
        </w:rPr>
      </w:pPr>
      <w:r>
        <w:rPr>
          <w:rFonts w:hint="eastAsia" w:ascii="仿宋_GB2312" w:hAnsi="仿宋" w:eastAsia="仿宋_GB2312" w:cs="仿宋_GB2312"/>
          <w:color w:val="000000"/>
          <w:sz w:val="32"/>
          <w:szCs w:val="32"/>
          <w:lang w:eastAsia="zh-CN"/>
        </w:rPr>
        <w:t>综上所述，当事人将非消费者自行使用的医疗器械网络销售给消费者个人的行为，违反《医疗器械网络销售监督管理办法》第十三条第三款的规定。依据《中华人民共和国行政处罚法》第二十八条第一款的规定，责令当事人改正上述违法行为，依据《医疗器械网络销售监督管理办法》第四十四条第二款的规定，作出行政处罚如下：罚款11000元。</w:t>
      </w:r>
      <w:r>
        <w:rPr>
          <w:rFonts w:ascii="仿宋_GB2312" w:hAnsi="仿宋" w:eastAsia="仿宋_GB2312" w:cs="仿宋_GB2312"/>
          <w:color w:val="000000"/>
          <w:sz w:val="32"/>
          <w:szCs w:val="32"/>
        </w:rPr>
        <w:tab/>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jc w:val="left"/>
        <w:textAlignment w:val="auto"/>
        <w:rPr>
          <w:rFonts w:ascii="仿宋_GB2312" w:hAnsi="仿宋" w:eastAsia="仿宋_GB2312" w:cs="仿宋_GB2312"/>
          <w:color w:val="000000"/>
          <w:sz w:val="32"/>
          <w:szCs w:val="32"/>
        </w:rPr>
      </w:pPr>
      <w:r>
        <w:rPr>
          <w:rFonts w:hint="eastAsia" w:ascii="仿宋_GB2312" w:hAnsi="仿宋" w:eastAsia="仿宋_GB2312" w:cs="仿宋_GB2312"/>
          <w:color w:val="000000"/>
          <w:sz w:val="32"/>
          <w:szCs w:val="32"/>
        </w:rPr>
        <w:t>当事人应当在接到本行政处罚决定书之日起十五日内，凭福建省政府非税收入缴款通知书（缴款码）通过银行网点或电子支付系统缴款，当事人逾期不履行行政处罚决定的，本局将依据《中华人民共和国行政处罚法》第七十二条的规定，采取下列措施：（一）到期不缴纳罚款的，每日按罚款数额的百分之三加处罚款，加处罚款的数额不得超出罚款的数额；（二）根据法律规定，将查封、扣押的财物拍卖、依法处理或者将冻结的存款、回款划拨抵缴罚款；（三）根据法律规定，采取其他行政强制执行方式；（四）依据《中华人民共和国行政强制法》的规定申请晋江市人民法院强制执行。</w:t>
      </w:r>
    </w:p>
    <w:p>
      <w:pPr>
        <w:pStyle w:val="10"/>
        <w:keepNext w:val="0"/>
        <w:keepLines w:val="0"/>
        <w:pageBreakBefore w:val="0"/>
        <w:widowControl w:val="0"/>
        <w:tabs>
          <w:tab w:val="left" w:pos="0"/>
        </w:tabs>
        <w:kinsoku/>
        <w:wordWrap/>
        <w:overflowPunct/>
        <w:topLinePunct w:val="0"/>
        <w:autoSpaceDE/>
        <w:autoSpaceDN/>
        <w:bidi w:val="0"/>
        <w:adjustRightInd/>
        <w:snapToGrid/>
        <w:spacing w:line="440" w:lineRule="exact"/>
        <w:jc w:val="right"/>
        <w:textAlignment w:val="auto"/>
        <w:rPr>
          <w:rFonts w:ascii="仿宋_GB2312" w:hAnsi="仿宋" w:eastAsia="仿宋_GB2312" w:cs="仿宋_GB2312"/>
          <w:color w:val="000000"/>
          <w:sz w:val="32"/>
          <w:szCs w:val="32"/>
        </w:rPr>
      </w:pPr>
      <w:r>
        <w:rPr>
          <w:rFonts w:hint="eastAsia" w:ascii="仿宋_GB2312" w:hAnsi="仿宋" w:eastAsia="仿宋_GB2312" w:cs="仿宋_GB2312"/>
          <w:color w:val="000000"/>
          <w:sz w:val="32"/>
          <w:szCs w:val="32"/>
        </w:rPr>
        <w:t>如不服本行政处罚决定，可以在接到本行政处罚决定书之日起六十日内向晋江市人民政府申请复议，也可以在六个月内依法向人民法院提起行政诉讼。申请行政复议或者提起行政诉讼期间，行政处罚不停止执行，法律、法规、规章另有规定的，从其规定。</w:t>
      </w:r>
      <w:r>
        <w:rPr>
          <w:rFonts w:ascii="仿宋_GB2312" w:hAnsi="仿宋" w:eastAsia="仿宋_GB2312" w:cs="仿宋_GB2312"/>
          <w:color w:val="000000"/>
          <w:sz w:val="32"/>
          <w:szCs w:val="32"/>
        </w:rPr>
        <w:t xml:space="preserve"> </w:t>
      </w:r>
    </w:p>
    <w:p>
      <w:pPr>
        <w:pStyle w:val="10"/>
        <w:keepNext w:val="0"/>
        <w:keepLines w:val="0"/>
        <w:pageBreakBefore w:val="0"/>
        <w:widowControl w:val="0"/>
        <w:tabs>
          <w:tab w:val="left" w:pos="0"/>
        </w:tabs>
        <w:kinsoku/>
        <w:wordWrap/>
        <w:overflowPunct/>
        <w:topLinePunct w:val="0"/>
        <w:autoSpaceDE/>
        <w:autoSpaceDN/>
        <w:bidi w:val="0"/>
        <w:adjustRightInd/>
        <w:snapToGrid/>
        <w:spacing w:line="440" w:lineRule="exact"/>
        <w:jc w:val="right"/>
        <w:textAlignment w:val="auto"/>
        <w:rPr>
          <w:rFonts w:ascii="仿宋_GB2312" w:hAnsi="仿宋" w:eastAsia="仿宋_GB2312" w:cs="仿宋_GB2312"/>
          <w:color w:val="000000"/>
          <w:sz w:val="32"/>
          <w:szCs w:val="32"/>
        </w:rPr>
      </w:pPr>
    </w:p>
    <w:p>
      <w:pPr>
        <w:pStyle w:val="10"/>
        <w:keepNext w:val="0"/>
        <w:keepLines w:val="0"/>
        <w:pageBreakBefore w:val="0"/>
        <w:widowControl w:val="0"/>
        <w:tabs>
          <w:tab w:val="left" w:pos="0"/>
        </w:tabs>
        <w:kinsoku/>
        <w:wordWrap/>
        <w:overflowPunct/>
        <w:topLinePunct w:val="0"/>
        <w:autoSpaceDE/>
        <w:autoSpaceDN/>
        <w:bidi w:val="0"/>
        <w:adjustRightInd/>
        <w:snapToGrid/>
        <w:spacing w:line="440" w:lineRule="exact"/>
        <w:jc w:val="righ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晋江市市场监督管理局</w:t>
      </w:r>
    </w:p>
    <w:p>
      <w:pPr>
        <w:pStyle w:val="10"/>
        <w:keepNext w:val="0"/>
        <w:keepLines w:val="0"/>
        <w:pageBreakBefore w:val="0"/>
        <w:widowControl w:val="0"/>
        <w:tabs>
          <w:tab w:val="left" w:pos="0"/>
        </w:tabs>
        <w:kinsoku/>
        <w:wordWrap/>
        <w:overflowPunct/>
        <w:topLinePunct w:val="0"/>
        <w:autoSpaceDE/>
        <w:autoSpaceDN/>
        <w:bidi w:val="0"/>
        <w:adjustRightInd/>
        <w:snapToGrid/>
        <w:spacing w:line="440" w:lineRule="exact"/>
        <w:jc w:val="righ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2025年6月3日</w:t>
      </w:r>
    </w:p>
    <w:p>
      <w:pPr>
        <w:pStyle w:val="10"/>
        <w:keepNext w:val="0"/>
        <w:keepLines w:val="0"/>
        <w:pageBreakBefore w:val="0"/>
        <w:widowControl w:val="0"/>
        <w:tabs>
          <w:tab w:val="left" w:pos="0"/>
        </w:tabs>
        <w:kinsoku/>
        <w:wordWrap/>
        <w:overflowPunct/>
        <w:topLinePunct w:val="0"/>
        <w:autoSpaceDE/>
        <w:autoSpaceDN/>
        <w:bidi w:val="0"/>
        <w:adjustRightInd/>
        <w:spacing w:line="480" w:lineRule="exact"/>
        <w:jc w:val="right"/>
        <w:textAlignment w:val="auto"/>
        <w:rPr>
          <w:rFonts w:hint="eastAsia" w:ascii="仿宋_GB2312" w:hAnsi="仿宋_GB2312" w:eastAsia="仿宋_GB2312" w:cs="仿宋_GB2312"/>
          <w:sz w:val="32"/>
          <w:szCs w:val="32"/>
          <w:lang w:eastAsia="zh-CN"/>
        </w:rPr>
      </w:pPr>
    </w:p>
    <w:p>
      <w:pPr>
        <w:wordWrap w:val="0"/>
        <w:snapToGrid w:val="0"/>
        <w:spacing w:line="520" w:lineRule="exact"/>
        <w:rPr>
          <w:rFonts w:ascii="仿宋_GB2312" w:hAnsi="黑体" w:eastAsia="仿宋_GB2312" w:cs="Times New Roman"/>
          <w:color w:val="000000"/>
          <w:sz w:val="32"/>
          <w:szCs w:val="32"/>
        </w:rPr>
      </w:pPr>
      <w:r>
        <w:rPr>
          <w:rFonts w:hint="eastAsia" w:ascii="仿宋_GB2312" w:hAnsi="黑体" w:eastAsia="仿宋_GB2312" w:cs="仿宋_GB2312"/>
          <w:color w:val="000000"/>
          <w:sz w:val="32"/>
          <w:szCs w:val="32"/>
        </w:rPr>
        <w:t>（</w:t>
      </w:r>
      <w:r>
        <w:rPr>
          <w:rFonts w:hint="eastAsia" w:ascii="黑体" w:hAnsi="黑体" w:eastAsia="黑体" w:cs="黑体"/>
          <w:b/>
          <w:bCs/>
          <w:color w:val="000000"/>
          <w:sz w:val="32"/>
          <w:szCs w:val="32"/>
        </w:rPr>
        <w:t>市场监督管理部门将依法向社会公示本行政处罚决定信息</w:t>
      </w:r>
      <w:r>
        <w:rPr>
          <w:rFonts w:hint="eastAsia" w:ascii="仿宋_GB2312" w:hAnsi="黑体" w:eastAsia="仿宋_GB2312" w:cs="仿宋_GB2312"/>
          <w:color w:val="000000"/>
          <w:sz w:val="32"/>
          <w:szCs w:val="32"/>
        </w:rPr>
        <w:t>）</w:t>
      </w:r>
    </w:p>
    <w:p>
      <w:pPr>
        <w:wordWrap w:val="0"/>
        <w:spacing w:line="520" w:lineRule="exact"/>
        <w:rPr>
          <w:rFonts w:hint="eastAsia" w:ascii="仿宋_GB2312" w:hAnsi="仿宋_GB2312" w:eastAsia="仿宋_GB2312" w:cs="仿宋_GB2312"/>
          <w:sz w:val="32"/>
          <w:szCs w:val="32"/>
          <w:lang w:eastAsia="zh-CN"/>
        </w:rPr>
      </w:pPr>
      <w:r>
        <mc:AlternateContent>
          <mc:Choice Requires="wps">
            <w:drawing>
              <wp:anchor distT="0" distB="0" distL="114300" distR="114300" simplePos="0" relativeHeight="251660288" behindDoc="0" locked="0" layoutInCell="1" allowOverlap="1">
                <wp:simplePos x="0" y="0"/>
                <wp:positionH relativeFrom="column">
                  <wp:posOffset>-115570</wp:posOffset>
                </wp:positionH>
                <wp:positionV relativeFrom="paragraph">
                  <wp:posOffset>0</wp:posOffset>
                </wp:positionV>
                <wp:extent cx="5615940" cy="0"/>
                <wp:effectExtent l="0" t="0" r="0" b="0"/>
                <wp:wrapNone/>
                <wp:docPr id="3" name="直线 4"/>
                <wp:cNvGraphicFramePr/>
                <a:graphic xmlns:a="http://schemas.openxmlformats.org/drawingml/2006/main">
                  <a:graphicData uri="http://schemas.microsoft.com/office/word/2010/wordprocessingShape">
                    <wps:wsp>
                      <wps:cNvCnPr/>
                      <wps:spPr>
                        <a:xfrm flipV="1">
                          <a:off x="0" y="0"/>
                          <a:ext cx="5615940" cy="0"/>
                        </a:xfrm>
                        <a:prstGeom prst="line">
                          <a:avLst/>
                        </a:prstGeom>
                        <a:ln w="15875" cap="flat" cmpd="sng">
                          <a:solidFill>
                            <a:srgbClr val="000000"/>
                          </a:solidFill>
                          <a:prstDash val="solid"/>
                          <a:headEnd type="none" w="med" len="med"/>
                          <a:tailEnd type="none" w="med" len="med"/>
                        </a:ln>
                      </wps:spPr>
                      <wps:bodyPr/>
                    </wps:wsp>
                  </a:graphicData>
                </a:graphic>
              </wp:anchor>
            </w:drawing>
          </mc:Choice>
          <mc:Fallback>
            <w:pict>
              <v:line id="直线 4" o:spid="_x0000_s1026" o:spt="20" style="position:absolute;left:0pt;flip:y;margin-left:-9.1pt;margin-top:0pt;height:0pt;width:442.2pt;z-index:251660288;mso-width-relative:page;mso-height-relative:page;" filled="f" stroked="t" coordsize="21600,21600" o:gfxdata="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EQGUm0gAAAAUBAAAPAAAAAAAAAAEAIAAAACIAAABkcnMvZG93&#10;bnJldi54bWxQSwECFAAUAAAACACHTuJArqA3zs0BAACMAwAADgAAAAAAAAABACAAAAAhAQAAZHJz&#10;L2Uyb0RvYy54bWxQSwUGAAAAAAYABgBZAQAAYAUAAAAA&#10;">
                <v:fill on="f" focussize="0,0"/>
                <v:stroke weight="1.25pt" color="#000000" joinstyle="round"/>
                <v:imagedata o:title=""/>
                <o:lock v:ext="edit" aspectratio="f"/>
              </v:lin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2" name="直线 3"/>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wps:wsp>
                  </a:graphicData>
                </a:graphic>
              </wp:anchor>
            </w:drawing>
          </mc:Choice>
          <mc:Fallback>
            <w:pict>
              <v:line id="直线 3"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L7/OR1wAAAAoBAAAPAAAAAAAAAAEAIAAAACIAAABkcnMvZG93&#10;bnJldi54bWxQSwECFAAUAAAACACHTuJAPcNnc8gBAACCAwAADgAAAAAAAAABACAAAAAmAQAAZHJz&#10;L2Uyb0RvYy54bWxQSwUGAAAAAAYABgBZAQAAYAUAAAAA&#10;">
                <v:fill on="f" focussize="0,0"/>
                <v:stroke weight="0.737007874015748pt" color="#000000" joinstyle="round" endcap="square"/>
                <v:imagedata o:title=""/>
                <o:lock v:ext="edit" aspectratio="f"/>
              </v:line>
            </w:pict>
          </mc:Fallback>
        </mc:AlternateContent>
      </w:r>
      <w:r>
        <w:rPr>
          <w:rFonts w:hint="eastAsia" w:ascii="仿宋_GB2312" w:hAnsi="仿宋" w:eastAsia="仿宋_GB2312" w:cs="仿宋_GB2312"/>
          <w:color w:val="000000"/>
          <w:sz w:val="32"/>
          <w:szCs w:val="32"/>
        </w:rPr>
        <w:t>本文书一式二份，一份送达，一份归档。</w:t>
      </w:r>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5E7"/>
    <w:rsid w:val="001F327B"/>
    <w:rsid w:val="00204476"/>
    <w:rsid w:val="00235707"/>
    <w:rsid w:val="00254D23"/>
    <w:rsid w:val="002C15E7"/>
    <w:rsid w:val="00401A24"/>
    <w:rsid w:val="004E4338"/>
    <w:rsid w:val="00555393"/>
    <w:rsid w:val="005735D5"/>
    <w:rsid w:val="005F2547"/>
    <w:rsid w:val="00614BB0"/>
    <w:rsid w:val="006E5E74"/>
    <w:rsid w:val="00795038"/>
    <w:rsid w:val="007E3F36"/>
    <w:rsid w:val="008948D5"/>
    <w:rsid w:val="008D022A"/>
    <w:rsid w:val="00907178"/>
    <w:rsid w:val="009A18D3"/>
    <w:rsid w:val="009C6A9D"/>
    <w:rsid w:val="00A96484"/>
    <w:rsid w:val="00BA3308"/>
    <w:rsid w:val="00BD69A7"/>
    <w:rsid w:val="00C179D8"/>
    <w:rsid w:val="00C26BA9"/>
    <w:rsid w:val="00C744AD"/>
    <w:rsid w:val="00CB07D7"/>
    <w:rsid w:val="00CD2941"/>
    <w:rsid w:val="00DB5677"/>
    <w:rsid w:val="00E15634"/>
    <w:rsid w:val="00E97C53"/>
    <w:rsid w:val="00F03088"/>
    <w:rsid w:val="1B8D3ED9"/>
    <w:rsid w:val="1E287A0B"/>
    <w:rsid w:val="1FF33750"/>
    <w:rsid w:val="209D4439"/>
    <w:rsid w:val="260C3680"/>
    <w:rsid w:val="267E2763"/>
    <w:rsid w:val="27B4348C"/>
    <w:rsid w:val="2CA71AFA"/>
    <w:rsid w:val="3E944D8F"/>
    <w:rsid w:val="409A7FF8"/>
    <w:rsid w:val="437F1BEE"/>
    <w:rsid w:val="483A62C4"/>
    <w:rsid w:val="49F70CB2"/>
    <w:rsid w:val="4BD9065E"/>
    <w:rsid w:val="4C6A129E"/>
    <w:rsid w:val="57DC26D5"/>
    <w:rsid w:val="630A3CCE"/>
    <w:rsid w:val="69747A1E"/>
    <w:rsid w:val="6B5E455F"/>
    <w:rsid w:val="6C0A0CB1"/>
    <w:rsid w:val="6DD475AA"/>
    <w:rsid w:val="70714D0A"/>
    <w:rsid w:val="762F28B2"/>
    <w:rsid w:val="77831606"/>
    <w:rsid w:val="7B8F40D7"/>
    <w:rsid w:val="7E7E2E32"/>
    <w:rsid w:val="BAF27861"/>
    <w:rsid w:val="DCBC12C0"/>
    <w:rsid w:val="FCEBC0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2"/>
    <w:semiHidden/>
    <w:unhideWhenUsed/>
    <w:qFormat/>
    <w:uiPriority w:val="99"/>
    <w:pPr>
      <w:ind w:left="100" w:leftChars="2500"/>
    </w:pPr>
  </w:style>
  <w:style w:type="paragraph" w:styleId="3">
    <w:name w:val="Balloon Text"/>
    <w:basedOn w:val="1"/>
    <w:link w:val="11"/>
    <w:semiHidden/>
    <w:unhideWhenUsed/>
    <w:qFormat/>
    <w:uiPriority w:val="99"/>
    <w:rPr>
      <w:sz w:val="18"/>
      <w:szCs w:val="18"/>
    </w:rPr>
  </w:style>
  <w:style w:type="paragraph" w:styleId="4">
    <w:name w:val="footer"/>
    <w:basedOn w:val="1"/>
    <w:link w:val="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semiHidden/>
    <w:qFormat/>
    <w:uiPriority w:val="99"/>
    <w:rPr>
      <w:sz w:val="18"/>
      <w:szCs w:val="18"/>
    </w:rPr>
  </w:style>
  <w:style w:type="character" w:customStyle="1" w:styleId="9">
    <w:name w:val="页脚 Char"/>
    <w:basedOn w:val="7"/>
    <w:link w:val="4"/>
    <w:semiHidden/>
    <w:qFormat/>
    <w:uiPriority w:val="99"/>
    <w:rPr>
      <w:sz w:val="18"/>
      <w:szCs w:val="18"/>
    </w:rPr>
  </w:style>
  <w:style w:type="paragraph" w:styleId="10">
    <w:name w:val="List Paragraph"/>
    <w:basedOn w:val="1"/>
    <w:qFormat/>
    <w:uiPriority w:val="34"/>
    <w:pPr>
      <w:ind w:firstLine="420" w:firstLineChars="200"/>
    </w:pPr>
  </w:style>
  <w:style w:type="character" w:customStyle="1" w:styleId="11">
    <w:name w:val="批注框文本 Char"/>
    <w:basedOn w:val="7"/>
    <w:link w:val="3"/>
    <w:semiHidden/>
    <w:qFormat/>
    <w:uiPriority w:val="99"/>
    <w:rPr>
      <w:rFonts w:ascii="Calibri" w:hAnsi="Calibri" w:eastAsia="宋体" w:cs="Calibri"/>
      <w:sz w:val="18"/>
      <w:szCs w:val="18"/>
    </w:rPr>
  </w:style>
  <w:style w:type="character" w:customStyle="1" w:styleId="12">
    <w:name w:val="日期 Char"/>
    <w:basedOn w:val="7"/>
    <w:link w:val="2"/>
    <w:semiHidden/>
    <w:qFormat/>
    <w:uiPriority w:val="99"/>
    <w:rPr>
      <w:rFonts w:ascii="Calibri" w:hAnsi="Calibri" w:eastAsia="宋体" w:cs="Calibri"/>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914E869-0B82-45F0-B3CA-8BF93F1AF3D8}">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217</Words>
  <Characters>1239</Characters>
  <Lines>10</Lines>
  <Paragraphs>2</Paragraphs>
  <TotalTime>0</TotalTime>
  <ScaleCrop>false</ScaleCrop>
  <LinksUpToDate>false</LinksUpToDate>
  <CharactersWithSpaces>1454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2019-06-14T11:02:00Z</dcterms:created>
  <dc:creator>Administrator</dc:creator>
  <cp:lastModifiedBy>施婉弘</cp:lastModifiedBy>
  <cp:lastPrinted>2025-06-03T07:35:00Z</cp:lastPrinted>
  <dcterms:modified xsi:type="dcterms:W3CDTF">2025-07-09T01:42:17Z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37450A571E6107F2F9C64F678BBC8AAE</vt:lpwstr>
  </property>
</Properties>
</file>