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黑体" w:hAnsi="Times New Roman" w:eastAsia="黑体" w:cs="Times New Roman"/>
          <w:b/>
          <w:color w:val="000000"/>
          <w:sz w:val="44"/>
          <w:szCs w:val="44"/>
        </w:rPr>
      </w:pPr>
      <w:r>
        <w:rPr>
          <w:rFonts w:hint="eastAsia" w:ascii="黑体" w:hAnsi="Times New Roman" w:eastAsia="黑体" w:cs="宋体"/>
          <w:b/>
          <w:color w:val="000000"/>
          <w:sz w:val="44"/>
          <w:szCs w:val="44"/>
        </w:rPr>
        <w:t>晋江市市场监督管理局</w:t>
      </w:r>
    </w:p>
    <w:p>
      <w:pPr>
        <w:spacing w:line="640" w:lineRule="exact"/>
        <w:jc w:val="center"/>
        <w:rPr>
          <w:rFonts w:ascii="黑体" w:hAnsi="Times New Roman" w:eastAsia="黑体" w:cs="Times New Roman"/>
          <w:b/>
          <w:color w:val="000000"/>
          <w:sz w:val="44"/>
          <w:szCs w:val="44"/>
        </w:rPr>
      </w:pPr>
      <w:r>
        <w:rPr>
          <w:rFonts w:hint="eastAsia" w:ascii="黑体" w:hAnsi="Times New Roman" w:eastAsia="黑体" w:cs="宋体"/>
          <w:b/>
          <w:color w:val="000000"/>
          <w:sz w:val="44"/>
          <w:szCs w:val="44"/>
        </w:rPr>
        <w:t>行政处罚决定书</w:t>
      </w:r>
    </w:p>
    <w:p>
      <w:pPr>
        <w:wordWrap w:val="0"/>
        <w:snapToGrid w:val="0"/>
        <w:spacing w:beforeLines="100" w:afterLines="100" w:line="520" w:lineRule="exact"/>
        <w:jc w:val="center"/>
        <w:rPr>
          <w:rFonts w:ascii="仿宋" w:hAnsi="仿宋" w:eastAsia="仿宋" w:cs="Times New Roman"/>
          <w:sz w:val="32"/>
          <w:szCs w:val="32"/>
          <w:u w:val="none"/>
        </w:rPr>
      </w:pPr>
      <w:r>
        <w:rPr>
          <w:rFonts w:ascii="仿宋" w:hAnsi="仿宋" w:eastAsia="仿宋"/>
          <w:sz w:val="32"/>
          <w:szCs w:val="32"/>
          <w:u w:val="none"/>
        </w:rPr>
        <w:pict>
          <v:shape id="_x0000_s2050" o:spid="_x0000_s2050" o:spt="32" type="#_x0000_t32" style="position:absolute;left:0pt;margin-left:2pt;margin-top:1638pt;height:0.1pt;width:453.7pt;z-index:251660288;mso-width-relative:page;mso-height-relative:page;" filled="f" coordsize="21600,21600">
            <v:path arrowok="t"/>
            <v:fill on="f" focussize="0,0"/>
            <v:stroke weight="1.5pt" endcap="square"/>
            <v:imagedata o:title=""/>
            <o:lock v:ext="edit"/>
          </v:shape>
        </w:pict>
      </w:r>
      <w:r>
        <w:rPr>
          <w:rFonts w:hint="eastAsia" w:ascii="仿宋" w:hAnsi="仿宋" w:eastAsia="仿宋" w:cs="宋体"/>
          <w:sz w:val="32"/>
          <w:szCs w:val="32"/>
          <w:u w:val="none"/>
        </w:rPr>
        <w:t>晋市监</w:t>
      </w:r>
      <w:r>
        <w:rPr>
          <w:rFonts w:hint="eastAsia" w:ascii="仿宋" w:hAnsi="仿宋" w:eastAsia="仿宋" w:cs="宋体"/>
          <w:sz w:val="32"/>
          <w:szCs w:val="32"/>
          <w:u w:val="none"/>
          <w:lang w:eastAsia="zh-CN"/>
        </w:rPr>
        <w:t>处</w:t>
      </w:r>
      <w:r>
        <w:rPr>
          <w:rFonts w:hint="eastAsia" w:ascii="仿宋" w:hAnsi="仿宋" w:eastAsia="仿宋" w:cs="宋体"/>
          <w:sz w:val="32"/>
          <w:szCs w:val="32"/>
          <w:u w:val="none"/>
        </w:rPr>
        <w:t>罚〔</w:t>
      </w:r>
      <w:r>
        <w:rPr>
          <w:rFonts w:hint="eastAsia" w:ascii="仿宋" w:hAnsi="仿宋" w:eastAsia="仿宋" w:cs="仿宋_GB2312"/>
          <w:sz w:val="32"/>
          <w:szCs w:val="32"/>
          <w:u w:val="none"/>
        </w:rPr>
        <w:t>202</w:t>
      </w:r>
      <w:r>
        <w:rPr>
          <w:rFonts w:hint="eastAsia" w:ascii="仿宋" w:hAnsi="仿宋" w:eastAsia="仿宋" w:cs="仿宋_GB2312"/>
          <w:sz w:val="32"/>
          <w:szCs w:val="32"/>
          <w:u w:val="none"/>
          <w:lang w:val="en-US" w:eastAsia="zh-CN"/>
        </w:rPr>
        <w:t>4</w:t>
      </w:r>
      <w:r>
        <w:rPr>
          <w:rFonts w:hint="eastAsia" w:ascii="仿宋" w:hAnsi="仿宋" w:eastAsia="仿宋" w:cs="宋体"/>
          <w:sz w:val="32"/>
          <w:szCs w:val="32"/>
          <w:u w:val="none"/>
        </w:rPr>
        <w:t>〕</w:t>
      </w:r>
      <w:r>
        <w:rPr>
          <w:rFonts w:hint="eastAsia" w:ascii="仿宋" w:hAnsi="仿宋" w:eastAsia="仿宋" w:cs="仿宋_GB2312"/>
          <w:sz w:val="32"/>
          <w:szCs w:val="32"/>
          <w:u w:val="none"/>
        </w:rPr>
        <w:t>13-</w:t>
      </w:r>
      <w:r>
        <w:rPr>
          <w:rFonts w:hint="eastAsia" w:ascii="仿宋" w:hAnsi="仿宋" w:eastAsia="仿宋" w:cs="仿宋_GB2312"/>
          <w:sz w:val="32"/>
          <w:szCs w:val="32"/>
          <w:u w:val="none"/>
          <w:lang w:val="en-US" w:eastAsia="zh-CN"/>
        </w:rPr>
        <w:t>208</w:t>
      </w:r>
      <w:r>
        <w:rPr>
          <w:rFonts w:hint="eastAsia" w:ascii="仿宋" w:hAnsi="仿宋" w:eastAsia="仿宋" w:cs="宋体"/>
          <w:sz w:val="32"/>
          <w:szCs w:val="32"/>
          <w:u w:val="none"/>
        </w:rPr>
        <w:t>号</w:t>
      </w:r>
    </w:p>
    <w:p>
      <w:pPr>
        <w:keepNext w:val="0"/>
        <w:keepLines w:val="0"/>
        <w:pageBreakBefore w:val="0"/>
        <w:widowControl w:val="0"/>
        <w:kinsoku/>
        <w:wordWrap/>
        <w:overflowPunct/>
        <w:topLinePunct w:val="0"/>
        <w:autoSpaceDE/>
        <w:autoSpaceDN/>
        <w:bidi w:val="0"/>
        <w:adjustRightInd/>
        <w:snapToGrid/>
        <w:spacing w:line="440" w:lineRule="exact"/>
        <w:ind w:left="-199" w:leftChars="-95"/>
        <w:textAlignment w:val="auto"/>
        <w:rPr>
          <w:rFonts w:hint="eastAsia" w:ascii="仿宋" w:hAnsi="仿宋" w:eastAsia="仿宋" w:cs="仿宋"/>
          <w:color w:val="000000"/>
          <w:sz w:val="32"/>
          <w:szCs w:val="32"/>
        </w:rPr>
      </w:pPr>
      <w:r>
        <w:rPr>
          <w:rFonts w:hint="eastAsia" w:ascii="仿宋_GB2312" w:hAnsi="仿宋" w:eastAsia="仿宋_GB2312" w:cs="仿宋_GB2312"/>
          <w:kern w:val="1"/>
          <w:sz w:val="32"/>
          <w:szCs w:val="32"/>
        </w:rPr>
        <w:t>当</w:t>
      </w:r>
      <w:r>
        <w:rPr>
          <w:rFonts w:hint="eastAsia" w:ascii="仿宋" w:hAnsi="仿宋" w:eastAsia="仿宋" w:cs="仿宋"/>
          <w:color w:val="000000"/>
          <w:sz w:val="32"/>
          <w:szCs w:val="32"/>
        </w:rPr>
        <w:t>事人：</w:t>
      </w:r>
      <w:r>
        <w:rPr>
          <w:rFonts w:hint="eastAsia" w:ascii="仿宋_GB2312" w:eastAsia="仿宋_GB2312" w:cs="仿宋_GB2312" w:hAnsiTheme="minorEastAsia"/>
          <w:sz w:val="32"/>
          <w:szCs w:val="32"/>
        </w:rPr>
        <w:t>晋江市内坑镇好运源茶叶店</w:t>
      </w:r>
      <w:r>
        <w:rPr>
          <w:rFonts w:hint="eastAsia" w:ascii="仿宋" w:hAnsi="仿宋" w:eastAsia="仿宋" w:cs="仿宋"/>
          <w:color w:val="000000"/>
          <w:sz w:val="32"/>
          <w:szCs w:val="32"/>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199" w:leftChars="-95" w:firstLine="0" w:firstLineChars="0"/>
        <w:textAlignment w:val="auto"/>
        <w:rPr>
          <w:rFonts w:hint="eastAsia" w:ascii="仿宋" w:hAnsi="仿宋" w:eastAsia="仿宋" w:cs="仿宋"/>
          <w:color w:val="000000"/>
          <w:sz w:val="32"/>
          <w:szCs w:val="32"/>
          <w:u w:val="none"/>
        </w:rPr>
      </w:pPr>
      <w:r>
        <w:rPr>
          <w:rFonts w:hint="eastAsia" w:ascii="仿宋" w:hAnsi="仿宋" w:eastAsia="仿宋" w:cs="仿宋"/>
          <w:color w:val="000000"/>
          <w:sz w:val="32"/>
          <w:szCs w:val="32"/>
          <w:u w:val="none"/>
        </w:rPr>
        <w:t xml:space="preserve">主体资格证照名称：营业执照                               </w:t>
      </w:r>
    </w:p>
    <w:p>
      <w:pPr>
        <w:keepNext w:val="0"/>
        <w:keepLines w:val="0"/>
        <w:pageBreakBefore w:val="0"/>
        <w:widowControl w:val="0"/>
        <w:kinsoku/>
        <w:wordWrap/>
        <w:overflowPunct/>
        <w:topLinePunct w:val="0"/>
        <w:autoSpaceDE/>
        <w:autoSpaceDN/>
        <w:bidi w:val="0"/>
        <w:adjustRightInd/>
        <w:snapToGrid/>
        <w:spacing w:line="400" w:lineRule="exact"/>
        <w:ind w:left="-199" w:leftChars="-95" w:firstLine="0" w:firstLineChars="0"/>
        <w:textAlignment w:val="auto"/>
        <w:rPr>
          <w:rFonts w:hint="eastAsia" w:ascii="仿宋" w:hAnsi="仿宋" w:eastAsia="仿宋" w:cs="仿宋"/>
          <w:kern w:val="1"/>
          <w:sz w:val="32"/>
          <w:szCs w:val="32"/>
          <w:u w:val="none"/>
        </w:rPr>
      </w:pPr>
      <w:r>
        <w:rPr>
          <w:rFonts w:hint="eastAsia" w:ascii="仿宋" w:hAnsi="仿宋" w:eastAsia="仿宋" w:cs="仿宋"/>
          <w:color w:val="000000"/>
          <w:sz w:val="32"/>
          <w:szCs w:val="32"/>
          <w:u w:val="none"/>
        </w:rPr>
        <w:t>统一社会信用代码：</w:t>
      </w:r>
      <w:r>
        <w:rPr>
          <w:rFonts w:hint="eastAsia" w:ascii="仿宋_GB2312" w:eastAsia="仿宋_GB2312" w:cs="仿宋_GB2312" w:hAnsiTheme="minorEastAsia"/>
          <w:sz w:val="32"/>
          <w:szCs w:val="32"/>
        </w:rPr>
        <w:t>92350582MAC1MF6M9E</w:t>
      </w:r>
      <w:r>
        <w:rPr>
          <w:rFonts w:hint="eastAsia" w:ascii="仿宋" w:hAnsi="仿宋" w:eastAsia="仿宋" w:cs="仿宋"/>
          <w:kern w:val="1"/>
          <w:sz w:val="32"/>
          <w:szCs w:val="32"/>
          <w:u w:val="none"/>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199" w:leftChars="-95" w:firstLine="0" w:firstLineChars="0"/>
        <w:textAlignment w:val="auto"/>
        <w:rPr>
          <w:rFonts w:hint="eastAsia" w:ascii="仿宋" w:hAnsi="仿宋" w:eastAsia="仿宋" w:cs="仿宋"/>
          <w:color w:val="000000"/>
          <w:sz w:val="32"/>
          <w:szCs w:val="32"/>
          <w:u w:val="none"/>
        </w:rPr>
      </w:pPr>
      <w:r>
        <w:rPr>
          <w:rFonts w:hint="eastAsia" w:ascii="仿宋" w:hAnsi="仿宋" w:eastAsia="仿宋" w:cs="仿宋"/>
          <w:color w:val="000000"/>
          <w:w w:val="90"/>
          <w:sz w:val="32"/>
          <w:szCs w:val="32"/>
          <w:u w:val="none"/>
          <w:lang w:eastAsia="zh-CN"/>
        </w:rPr>
        <w:t>经营场所</w:t>
      </w:r>
      <w:r>
        <w:rPr>
          <w:rFonts w:hint="eastAsia" w:ascii="仿宋" w:hAnsi="仿宋" w:eastAsia="仿宋" w:cs="仿宋"/>
          <w:color w:val="000000"/>
          <w:w w:val="90"/>
          <w:sz w:val="32"/>
          <w:szCs w:val="32"/>
          <w:u w:val="none"/>
        </w:rPr>
        <w:t>：</w:t>
      </w:r>
      <w:r>
        <w:rPr>
          <w:rFonts w:hint="eastAsia" w:ascii="仿宋_GB2312" w:eastAsia="仿宋_GB2312" w:cs="仿宋_GB2312" w:hAnsiTheme="minorEastAsia"/>
          <w:sz w:val="32"/>
          <w:szCs w:val="32"/>
        </w:rPr>
        <w:t>晋江市内坑镇深圳村物流园路</w:t>
      </w:r>
      <w:r>
        <w:rPr>
          <w:rFonts w:hint="eastAsia" w:ascii="仿宋" w:hAnsi="仿宋" w:eastAsia="仿宋" w:cs="仿宋"/>
          <w:color w:val="000000"/>
          <w:sz w:val="32"/>
          <w:szCs w:val="32"/>
          <w:u w:val="none"/>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199" w:leftChars="-95" w:firstLine="0" w:firstLineChars="0"/>
        <w:textAlignment w:val="auto"/>
        <w:rPr>
          <w:rFonts w:hint="eastAsia" w:ascii="仿宋" w:hAnsi="仿宋" w:eastAsia="仿宋" w:cs="仿宋"/>
          <w:sz w:val="32"/>
          <w:szCs w:val="32"/>
          <w:u w:val="none"/>
        </w:rPr>
      </w:pPr>
      <w:r>
        <w:rPr>
          <w:rFonts w:hint="eastAsia" w:ascii="仿宋" w:hAnsi="仿宋" w:eastAsia="仿宋" w:cs="仿宋"/>
          <w:kern w:val="1"/>
          <w:sz w:val="32"/>
          <w:szCs w:val="32"/>
          <w:u w:val="none"/>
          <w:lang w:eastAsia="zh-CN"/>
        </w:rPr>
        <w:t>经营者</w:t>
      </w:r>
      <w:r>
        <w:rPr>
          <w:rFonts w:hint="eastAsia" w:ascii="仿宋" w:hAnsi="仿宋" w:eastAsia="仿宋" w:cs="仿宋"/>
          <w:color w:val="000000"/>
          <w:sz w:val="32"/>
          <w:szCs w:val="32"/>
          <w:u w:val="none"/>
        </w:rPr>
        <w:t>：</w:t>
      </w:r>
      <w:r>
        <w:rPr>
          <w:rFonts w:hint="eastAsia" w:ascii="仿宋_GB2312" w:eastAsia="仿宋_GB2312" w:cs="仿宋_GB2312" w:hAnsiTheme="minorEastAsia"/>
          <w:sz w:val="32"/>
          <w:szCs w:val="32"/>
        </w:rPr>
        <w:t>王竹源</w:t>
      </w:r>
      <w:r>
        <w:rPr>
          <w:rFonts w:hint="eastAsia" w:ascii="仿宋" w:hAnsi="仿宋" w:eastAsia="仿宋" w:cs="仿宋"/>
          <w:color w:val="000000"/>
          <w:sz w:val="32"/>
          <w:szCs w:val="32"/>
          <w:u w:val="none"/>
        </w:rPr>
        <w:t xml:space="preserve">                                    </w:t>
      </w:r>
    </w:p>
    <w:p>
      <w:pPr>
        <w:keepNext w:val="0"/>
        <w:keepLines w:val="0"/>
        <w:pageBreakBefore w:val="0"/>
        <w:widowControl w:val="0"/>
        <w:kinsoku/>
        <w:wordWrap/>
        <w:overflowPunct/>
        <w:topLinePunct w:val="0"/>
        <w:autoSpaceDE/>
        <w:autoSpaceDN/>
        <w:bidi w:val="0"/>
        <w:adjustRightInd/>
        <w:snapToGrid/>
        <w:spacing w:line="480" w:lineRule="exact"/>
        <w:ind w:left="-199" w:leftChars="-95" w:firstLine="0" w:firstLineChars="0"/>
        <w:textAlignment w:val="auto"/>
        <w:rPr>
          <w:rFonts w:hint="eastAsia" w:ascii="仿宋" w:hAnsi="仿宋" w:eastAsia="仿宋" w:cs="仿宋"/>
          <w:sz w:val="32"/>
          <w:szCs w:val="32"/>
        </w:rPr>
      </w:pPr>
      <w:r>
        <w:rPr>
          <w:rFonts w:hint="eastAsia" w:ascii="仿宋" w:hAnsi="仿宋" w:eastAsia="仿宋" w:cs="仿宋"/>
          <w:color w:val="000000"/>
          <w:sz w:val="32"/>
          <w:szCs w:val="32"/>
          <w:u w:val="none"/>
        </w:rPr>
        <w:t>身份证件号码：</w:t>
      </w:r>
      <w:r>
        <w:rPr>
          <w:rFonts w:hint="eastAsia" w:ascii="仿宋_GB2312" w:eastAsia="仿宋_GB2312" w:cs="仿宋_GB2312" w:hAnsiTheme="minorEastAsia"/>
          <w:sz w:val="32"/>
          <w:szCs w:val="32"/>
          <w:lang w:val="en-US" w:eastAsia="zh-CN"/>
        </w:rPr>
        <w:t>*****</w:t>
      </w:r>
      <w:r>
        <w:rPr>
          <w:rFonts w:hint="eastAsia" w:ascii="仿宋" w:hAnsi="仿宋" w:eastAsia="仿宋" w:cs="仿宋"/>
          <w:color w:val="000000"/>
          <w:sz w:val="32"/>
          <w:szCs w:val="32"/>
        </w:rPr>
        <w:t xml:space="preserve">        </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2024年9月24日，</w:t>
      </w:r>
      <w:bookmarkStart w:id="0" w:name="_GoBack"/>
      <w:bookmarkEnd w:id="0"/>
      <w:r>
        <w:rPr>
          <w:rFonts w:hint="eastAsia" w:ascii="仿宋" w:hAnsi="仿宋" w:eastAsia="仿宋" w:cs="仿宋"/>
          <w:sz w:val="32"/>
          <w:szCs w:val="32"/>
          <w:lang w:val="en-US" w:eastAsia="zh-CN"/>
        </w:rPr>
        <w:t>本局内坑所执法人员</w:t>
      </w:r>
      <w:r>
        <w:rPr>
          <w:rFonts w:hint="eastAsia" w:ascii="仿宋" w:hAnsi="仿宋" w:eastAsia="仿宋" w:cs="仿宋"/>
          <w:sz w:val="32"/>
          <w:szCs w:val="32"/>
          <w:lang w:eastAsia="zh-CN"/>
        </w:rPr>
        <w:t>根据泉州</w:t>
      </w:r>
      <w:r>
        <w:rPr>
          <w:rFonts w:hint="eastAsia" w:ascii="仿宋" w:hAnsi="仿宋" w:eastAsia="仿宋" w:cs="仿宋"/>
          <w:sz w:val="32"/>
          <w:szCs w:val="32"/>
          <w:lang w:val="en-US" w:eastAsia="zh-CN"/>
        </w:rPr>
        <w:t>12345</w:t>
      </w:r>
      <w:r>
        <w:rPr>
          <w:rFonts w:hint="eastAsia" w:ascii="仿宋" w:hAnsi="仿宋" w:eastAsia="仿宋" w:cs="仿宋"/>
          <w:sz w:val="32"/>
          <w:szCs w:val="32"/>
          <w:lang w:eastAsia="zh-CN"/>
        </w:rPr>
        <w:t>投诉线索</w:t>
      </w:r>
      <w:r>
        <w:rPr>
          <w:rFonts w:hint="eastAsia" w:ascii="仿宋" w:hAnsi="仿宋" w:eastAsia="仿宋" w:cs="仿宋"/>
          <w:sz w:val="32"/>
          <w:szCs w:val="32"/>
          <w:lang w:val="en-US" w:eastAsia="zh-CN"/>
        </w:rPr>
        <w:t>，依法对当事人</w:t>
      </w:r>
      <w:r>
        <w:rPr>
          <w:rFonts w:hint="eastAsia" w:ascii="仿宋" w:hAnsi="仿宋" w:eastAsia="仿宋" w:cs="仿宋"/>
          <w:sz w:val="32"/>
          <w:szCs w:val="32"/>
          <w:lang w:eastAsia="zh-CN"/>
        </w:rPr>
        <w:t>晋江市内坑镇好运源茶叶店</w:t>
      </w:r>
      <w:r>
        <w:rPr>
          <w:rFonts w:hint="eastAsia" w:ascii="仿宋" w:hAnsi="仿宋" w:eastAsia="仿宋" w:cs="仿宋"/>
          <w:sz w:val="32"/>
          <w:szCs w:val="32"/>
          <w:lang w:val="en-US" w:eastAsia="zh-CN"/>
        </w:rPr>
        <w:t>位于</w:t>
      </w:r>
      <w:r>
        <w:rPr>
          <w:rFonts w:hint="eastAsia" w:ascii="仿宋" w:hAnsi="仿宋" w:eastAsia="仿宋" w:cs="仿宋"/>
          <w:sz w:val="32"/>
          <w:szCs w:val="32"/>
        </w:rPr>
        <w:t>晋江市内坑镇深圳村物流园路</w:t>
      </w:r>
      <w:r>
        <w:rPr>
          <w:rFonts w:hint="eastAsia" w:ascii="仿宋" w:hAnsi="仿宋" w:eastAsia="仿宋" w:cs="仿宋"/>
          <w:sz w:val="32"/>
          <w:szCs w:val="32"/>
          <w:lang w:eastAsia="zh-CN"/>
        </w:rPr>
        <w:t>的经营场所</w:t>
      </w:r>
      <w:r>
        <w:rPr>
          <w:rFonts w:hint="eastAsia" w:ascii="仿宋" w:hAnsi="仿宋" w:eastAsia="仿宋" w:cs="仿宋"/>
          <w:sz w:val="32"/>
          <w:szCs w:val="32"/>
          <w:lang w:val="en-US" w:eastAsia="zh-CN"/>
        </w:rPr>
        <w:t>进行检查，现场向当事人出示投诉单，</w:t>
      </w:r>
      <w:r>
        <w:rPr>
          <w:rFonts w:hint="eastAsia" w:ascii="仿宋" w:hAnsi="仿宋" w:eastAsia="仿宋" w:cs="仿宋"/>
          <w:sz w:val="32"/>
          <w:szCs w:val="32"/>
          <w:lang w:eastAsia="zh-CN"/>
        </w:rPr>
        <w:t>当事人供述投诉单中的涉诉茶叶外包装上没有标注执行标准信息为其</w:t>
      </w:r>
      <w:r>
        <w:rPr>
          <w:rFonts w:hint="eastAsia" w:ascii="仿宋" w:hAnsi="仿宋" w:eastAsia="仿宋" w:cs="仿宋"/>
          <w:sz w:val="32"/>
          <w:szCs w:val="32"/>
          <w:lang w:val="en-US" w:eastAsia="zh-CN"/>
        </w:rPr>
        <w:t>店在抖音平台开设的店铺“阿源茶社”销售出去的，现场检查未发现投诉单内容中涉诉的茶叶，当事人现场无法提供经营上述茶叶的相关进货凭证。当事人上述行为涉嫌经营标签标识不符合规范的茶叶及未履行进货查验义务</w:t>
      </w:r>
      <w:r>
        <w:rPr>
          <w:rFonts w:hint="eastAsia" w:ascii="仿宋" w:hAnsi="仿宋" w:eastAsia="仿宋" w:cs="仿宋"/>
          <w:sz w:val="32"/>
          <w:szCs w:val="32"/>
        </w:rPr>
        <w:t>，经报局领导批准，本局于2024年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24</w:t>
      </w:r>
      <w:r>
        <w:rPr>
          <w:rFonts w:hint="eastAsia" w:ascii="仿宋" w:hAnsi="仿宋" w:eastAsia="仿宋" w:cs="仿宋"/>
          <w:sz w:val="32"/>
          <w:szCs w:val="32"/>
        </w:rPr>
        <w:t>日予以立案调查</w:t>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rPr>
      </w:pPr>
      <w:r>
        <w:rPr>
          <w:rFonts w:hint="eastAsia" w:ascii="仿宋_GB2312" w:hAnsi="仿宋" w:eastAsia="仿宋_GB2312" w:cs="仿宋_GB2312"/>
          <w:sz w:val="32"/>
          <w:szCs w:val="32"/>
          <w:lang w:eastAsia="zh-CN"/>
        </w:rPr>
        <w:t>经查，当事</w:t>
      </w:r>
      <w:r>
        <w:rPr>
          <w:rFonts w:hint="eastAsia" w:ascii="仿宋_GB2312" w:hAnsi="仿宋" w:eastAsia="仿宋_GB2312" w:cs="仿宋_GB2312"/>
          <w:sz w:val="32"/>
          <w:szCs w:val="32"/>
        </w:rPr>
        <w:t>人</w:t>
      </w:r>
      <w:r>
        <w:rPr>
          <w:rFonts w:hint="eastAsia" w:ascii="仿宋_GB2312" w:hAnsi="仿宋" w:eastAsia="仿宋_GB2312" w:cs="仿宋_GB2312"/>
          <w:sz w:val="32"/>
          <w:szCs w:val="32"/>
          <w:lang w:eastAsia="zh-CN"/>
        </w:rPr>
        <w:t>持有效《营业执照》和</w:t>
      </w:r>
      <w:r>
        <w:rPr>
          <w:rFonts w:hint="eastAsia" w:ascii="仿宋_GB2312" w:hAnsi="仿宋" w:eastAsia="仿宋_GB2312" w:cs="仿宋_GB2312"/>
          <w:color w:val="auto"/>
          <w:sz w:val="32"/>
          <w:szCs w:val="32"/>
        </w:rPr>
        <w:t>《</w:t>
      </w:r>
      <w:r>
        <w:rPr>
          <w:rFonts w:hint="eastAsia" w:ascii="仿宋_GB2312" w:hAnsi="仿宋" w:eastAsia="仿宋_GB2312" w:cs="仿宋_GB2312"/>
          <w:color w:val="auto"/>
          <w:sz w:val="32"/>
          <w:szCs w:val="32"/>
          <w:lang w:eastAsia="zh-CN"/>
        </w:rPr>
        <w:t>食品经营许可证</w:t>
      </w:r>
      <w:r>
        <w:rPr>
          <w:rFonts w:hint="eastAsia" w:ascii="仿宋_GB2312" w:hAnsi="仿宋" w:eastAsia="仿宋_GB2312" w:cs="仿宋_GB2312"/>
          <w:color w:val="auto"/>
          <w:sz w:val="32"/>
          <w:szCs w:val="32"/>
        </w:rPr>
        <w:t>》</w:t>
      </w:r>
      <w:r>
        <w:rPr>
          <w:rFonts w:hint="eastAsia" w:ascii="仿宋_GB2312" w:hAnsi="仿宋" w:eastAsia="仿宋_GB2312" w:cs="仿宋_GB2312"/>
          <w:color w:val="auto"/>
          <w:sz w:val="32"/>
          <w:szCs w:val="32"/>
          <w:lang w:eastAsia="zh-CN"/>
        </w:rPr>
        <w:t>从事茶叶</w:t>
      </w:r>
      <w:r>
        <w:rPr>
          <w:rFonts w:hint="eastAsia" w:ascii="仿宋_GB2312" w:hAnsi="仿宋" w:eastAsia="仿宋_GB2312" w:cs="仿宋_GB2312"/>
          <w:sz w:val="32"/>
          <w:szCs w:val="32"/>
          <w:lang w:eastAsia="zh-CN"/>
        </w:rPr>
        <w:t>营业</w:t>
      </w:r>
      <w:r>
        <w:rPr>
          <w:rFonts w:hint="eastAsia" w:ascii="仿宋_GB2312" w:eastAsia="仿宋_GB2312" w:cs="仿宋_GB2312" w:hAnsiTheme="minorEastAsia"/>
          <w:sz w:val="32"/>
          <w:szCs w:val="32"/>
        </w:rPr>
        <w:t>。</w:t>
      </w:r>
      <w:r>
        <w:rPr>
          <w:rFonts w:hint="eastAsia" w:ascii="仿宋_GB2312" w:eastAsia="仿宋_GB2312" w:cs="仿宋_GB2312" w:hAnsiTheme="minorEastAsia"/>
          <w:sz w:val="32"/>
          <w:szCs w:val="32"/>
          <w:lang w:eastAsia="zh-CN"/>
        </w:rPr>
        <w:t>上述涉诉茶叶是当事人于2024年9月1日从一上门推销的业务员处分别购买了</w:t>
      </w:r>
      <w:r>
        <w:rPr>
          <w:rFonts w:hint="eastAsia" w:ascii="仿宋_GB2312" w:eastAsia="仿宋_GB2312" w:cs="仿宋_GB2312" w:hAnsiTheme="minorEastAsia"/>
          <w:sz w:val="32"/>
          <w:szCs w:val="32"/>
          <w:lang w:val="en-US" w:eastAsia="zh-CN"/>
        </w:rPr>
        <w:t>“滇红金针茶叶”3罐，进价60元/罐和“茉莉银针茶叶”4罐，进价50元/罐。至案发时，在抖音平台售出2罐“滇红金针茶叶”，1罐自己</w:t>
      </w:r>
      <w:r>
        <w:rPr>
          <w:rFonts w:hint="eastAsia" w:ascii="仿宋_GB2312" w:hAnsi="仿宋" w:eastAsia="仿宋_GB2312" w:cs="仿宋_GB2312"/>
          <w:sz w:val="32"/>
          <w:szCs w:val="32"/>
          <w:lang w:val="en-US" w:eastAsia="zh-CN"/>
        </w:rPr>
        <w:t>饮用，“茉莉银针茶叶”售出4罐，售价70元/罐，均无库存。当事人在9月11日和9月13日同意投诉者的申请退款退款。上述茶叶外包装上没有标注执行标准信息。</w:t>
      </w:r>
      <w:r>
        <w:rPr>
          <w:rFonts w:hint="eastAsia" w:ascii="仿宋_GB2312" w:hAnsi="仿宋" w:eastAsia="仿宋_GB2312" w:cs="仿宋_GB2312"/>
          <w:sz w:val="32"/>
          <w:szCs w:val="32"/>
          <w:lang w:eastAsia="zh-CN"/>
        </w:rPr>
        <w:t>据此认定，当事人涉</w:t>
      </w:r>
      <w:r>
        <w:rPr>
          <w:rFonts w:hint="eastAsia" w:ascii="仿宋_GB2312" w:eastAsia="仿宋_GB2312" w:cs="仿宋_GB2312" w:hAnsiTheme="minorEastAsia"/>
          <w:sz w:val="32"/>
          <w:szCs w:val="32"/>
          <w:lang w:eastAsia="zh-CN"/>
        </w:rPr>
        <w:t>案茶叶货值金额</w:t>
      </w:r>
      <w:r>
        <w:rPr>
          <w:rFonts w:hint="eastAsia" w:ascii="仿宋_GB2312" w:hAnsi="仿宋" w:eastAsia="仿宋_GB2312" w:cs="仿宋_GB2312"/>
          <w:sz w:val="32"/>
          <w:szCs w:val="32"/>
          <w:lang w:eastAsia="zh-CN"/>
        </w:rPr>
        <w:t>为</w:t>
      </w:r>
      <w:r>
        <w:rPr>
          <w:rFonts w:hint="eastAsia" w:ascii="仿宋_GB2312" w:hAnsi="仿宋" w:eastAsia="仿宋_GB2312" w:cs="仿宋_GB2312"/>
          <w:sz w:val="32"/>
          <w:szCs w:val="32"/>
          <w:lang w:val="en-US" w:eastAsia="zh-CN"/>
        </w:rPr>
        <w:t>550</w:t>
      </w:r>
      <w:r>
        <w:rPr>
          <w:rFonts w:hint="eastAsia" w:ascii="仿宋_GB2312" w:hAnsi="仿宋" w:eastAsia="仿宋_GB2312" w:cs="仿宋_GB2312"/>
          <w:sz w:val="32"/>
          <w:szCs w:val="32"/>
        </w:rPr>
        <w:t>元，</w:t>
      </w:r>
      <w:r>
        <w:rPr>
          <w:rFonts w:hint="eastAsia" w:ascii="仿宋_GB2312" w:hAnsi="仿宋" w:eastAsia="仿宋_GB2312" w:cs="仿宋_GB2312"/>
          <w:sz w:val="32"/>
          <w:szCs w:val="32"/>
          <w:lang w:eastAsia="zh-CN"/>
        </w:rPr>
        <w:t>无</w:t>
      </w:r>
      <w:r>
        <w:rPr>
          <w:rFonts w:hint="eastAsia" w:ascii="仿宋_GB2312" w:hAnsi="仿宋" w:eastAsia="仿宋_GB2312" w:cs="仿宋_GB2312"/>
          <w:color w:val="auto"/>
          <w:sz w:val="32"/>
          <w:szCs w:val="32"/>
        </w:rPr>
        <w:t>违法所得</w:t>
      </w:r>
      <w:r>
        <w:rPr>
          <w:rFonts w:hint="eastAsia" w:ascii="仿宋_GB2312" w:hAnsi="仿宋" w:eastAsia="仿宋_GB2312" w:cs="仿宋_GB2312"/>
          <w:sz w:val="32"/>
          <w:szCs w:val="32"/>
        </w:rPr>
        <w:t>。</w:t>
      </w:r>
      <w:r>
        <w:rPr>
          <w:rFonts w:hint="eastAsia" w:ascii="仿宋" w:hAnsi="仿宋" w:eastAsia="仿宋" w:cs="仿宋"/>
          <w:sz w:val="32"/>
          <w:szCs w:val="32"/>
          <w:lang w:eastAsia="zh-CN"/>
        </w:rPr>
        <w:t>以上商品，当事人未履行进货查验和索证索票义务。</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上述事实，主要有以下证据证明：</w:t>
      </w:r>
      <w:r>
        <w:rPr>
          <w:rFonts w:hint="eastAsia" w:ascii="仿宋_GB2312" w:hAnsi="宋体" w:eastAsia="仿宋_GB2312" w:cs="仿宋_GB2312"/>
          <w:sz w:val="32"/>
          <w:szCs w:val="32"/>
          <w:lang w:eastAsia="zh-CN"/>
        </w:rPr>
        <w:t>泉州</w:t>
      </w:r>
      <w:r>
        <w:rPr>
          <w:rFonts w:hint="eastAsia" w:ascii="仿宋_GB2312" w:hAnsi="宋体" w:eastAsia="仿宋_GB2312" w:cs="仿宋_GB2312"/>
          <w:sz w:val="32"/>
          <w:szCs w:val="32"/>
          <w:lang w:val="en-US" w:eastAsia="zh-CN"/>
        </w:rPr>
        <w:t>12345投诉线索、</w:t>
      </w:r>
      <w:r>
        <w:rPr>
          <w:rFonts w:hint="eastAsia" w:ascii="仿宋" w:hAnsi="仿宋" w:eastAsia="仿宋" w:cs="仿宋"/>
          <w:sz w:val="32"/>
          <w:szCs w:val="32"/>
        </w:rPr>
        <w:t>现场检查笔录、询问笔录、营业执照（复印件）、</w:t>
      </w:r>
      <w:r>
        <w:rPr>
          <w:rFonts w:hint="eastAsia" w:ascii="仿宋" w:hAnsi="仿宋" w:eastAsia="仿宋" w:cs="仿宋"/>
          <w:sz w:val="32"/>
          <w:szCs w:val="32"/>
          <w:lang w:eastAsia="zh-CN"/>
        </w:rPr>
        <w:t>食品经营许可证</w:t>
      </w:r>
      <w:r>
        <w:rPr>
          <w:rFonts w:hint="eastAsia" w:ascii="仿宋" w:hAnsi="仿宋" w:eastAsia="仿宋" w:cs="仿宋"/>
          <w:sz w:val="32"/>
          <w:szCs w:val="32"/>
        </w:rPr>
        <w:t>（复印件）</w:t>
      </w:r>
      <w:r>
        <w:rPr>
          <w:rFonts w:hint="eastAsia" w:ascii="仿宋" w:hAnsi="仿宋" w:eastAsia="仿宋" w:cs="仿宋"/>
          <w:sz w:val="32"/>
          <w:szCs w:val="32"/>
          <w:lang w:eastAsia="zh-CN"/>
        </w:rPr>
        <w:t>、经营者</w:t>
      </w:r>
      <w:r>
        <w:rPr>
          <w:rFonts w:hint="eastAsia" w:ascii="仿宋" w:hAnsi="仿宋" w:eastAsia="仿宋" w:cs="仿宋"/>
          <w:sz w:val="32"/>
          <w:szCs w:val="32"/>
        </w:rPr>
        <w:t xml:space="preserve">身份证（复印件）、现场照片等证据证实。                                              </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w:t>
      </w:r>
      <w:r>
        <w:rPr>
          <w:rFonts w:hint="eastAsia" w:ascii="仿宋" w:hAnsi="仿宋" w:eastAsia="仿宋" w:cs="仿宋"/>
          <w:sz w:val="32"/>
          <w:szCs w:val="32"/>
          <w:lang w:val="en-US" w:eastAsia="zh-CN"/>
        </w:rPr>
        <w:t>10</w:t>
      </w:r>
      <w:r>
        <w:rPr>
          <w:rFonts w:hint="eastAsia" w:ascii="仿宋" w:hAnsi="仿宋" w:eastAsia="仿宋" w:cs="仿宋"/>
          <w:sz w:val="32"/>
          <w:szCs w:val="32"/>
        </w:rPr>
        <w:t>月</w:t>
      </w:r>
      <w:r>
        <w:rPr>
          <w:rFonts w:hint="eastAsia" w:ascii="仿宋" w:hAnsi="仿宋" w:eastAsia="仿宋" w:cs="仿宋"/>
          <w:sz w:val="32"/>
          <w:szCs w:val="32"/>
          <w:lang w:val="en-US" w:eastAsia="zh-CN"/>
        </w:rPr>
        <w:t>28</w:t>
      </w:r>
      <w:r>
        <w:rPr>
          <w:rFonts w:hint="eastAsia" w:ascii="仿宋" w:hAnsi="仿宋" w:eastAsia="仿宋" w:cs="仿宋"/>
          <w:sz w:val="32"/>
          <w:szCs w:val="32"/>
        </w:rPr>
        <w:t>日，本局向当事人送达了《行政处罚告知书》(晋市监罚告 [202</w:t>
      </w:r>
      <w:r>
        <w:rPr>
          <w:rFonts w:hint="eastAsia" w:ascii="仿宋" w:hAnsi="仿宋" w:eastAsia="仿宋" w:cs="仿宋"/>
          <w:sz w:val="32"/>
          <w:szCs w:val="32"/>
          <w:lang w:val="en-US" w:eastAsia="zh-CN"/>
        </w:rPr>
        <w:t>4</w:t>
      </w:r>
      <w:r>
        <w:rPr>
          <w:rFonts w:hint="eastAsia" w:ascii="仿宋" w:hAnsi="仿宋" w:eastAsia="仿宋" w:cs="仿宋"/>
          <w:sz w:val="32"/>
          <w:szCs w:val="32"/>
        </w:rPr>
        <w:t>]13-</w:t>
      </w:r>
      <w:r>
        <w:rPr>
          <w:rFonts w:hint="eastAsia" w:ascii="仿宋" w:hAnsi="仿宋" w:eastAsia="仿宋" w:cs="仿宋"/>
          <w:sz w:val="32"/>
          <w:szCs w:val="32"/>
          <w:lang w:val="en-US" w:eastAsia="zh-CN"/>
        </w:rPr>
        <w:t>208</w:t>
      </w:r>
      <w:r>
        <w:rPr>
          <w:rFonts w:hint="eastAsia" w:ascii="仿宋" w:hAnsi="仿宋" w:eastAsia="仿宋" w:cs="仿宋"/>
          <w:sz w:val="32"/>
          <w:szCs w:val="32"/>
        </w:rPr>
        <w:t xml:space="preserve">号)，当事人在法定期限内未提出陈述或申辩意见。                     </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 w:eastAsia="仿宋_GB2312" w:cs="仿宋"/>
          <w:color w:val="auto"/>
          <w:sz w:val="32"/>
          <w:szCs w:val="32"/>
          <w:lang w:eastAsia="zh-CN"/>
        </w:rPr>
      </w:pPr>
      <w:r>
        <w:rPr>
          <w:rFonts w:hint="eastAsia" w:ascii="仿宋" w:hAnsi="仿宋" w:eastAsia="仿宋" w:cs="仿宋"/>
          <w:sz w:val="32"/>
          <w:szCs w:val="32"/>
        </w:rPr>
        <w:t>本局认为</w:t>
      </w:r>
      <w:r>
        <w:rPr>
          <w:rFonts w:hint="eastAsia" w:ascii="仿宋" w:hAnsi="仿宋" w:eastAsia="仿宋" w:cs="仿宋"/>
          <w:sz w:val="32"/>
          <w:szCs w:val="32"/>
          <w:lang w:eastAsia="zh-CN"/>
        </w:rPr>
        <w:t>：</w:t>
      </w:r>
      <w:r>
        <w:rPr>
          <w:rFonts w:hint="eastAsia" w:ascii="仿宋_GB2312" w:hAnsi="仿宋" w:eastAsia="仿宋_GB2312" w:cs="仿宋_GB2312"/>
          <w:color w:val="auto"/>
          <w:sz w:val="32"/>
          <w:szCs w:val="32"/>
        </w:rPr>
        <w:t>当事</w:t>
      </w:r>
      <w:r>
        <w:rPr>
          <w:rFonts w:hint="eastAsia" w:ascii="仿宋_GB2312" w:hAnsi="仿宋" w:eastAsia="仿宋_GB2312" w:cs="仿宋"/>
          <w:color w:val="auto"/>
          <w:sz w:val="32"/>
          <w:szCs w:val="32"/>
          <w:lang w:eastAsia="zh-CN"/>
        </w:rPr>
        <w:t>人涉嫌经营标签不符合规定的茶叶，违反《中华人民共和国食品安全法》第六十七条第一款第九项；当事人未履行进货查验义务的行为，违反了《中华人民共和国食品安全法》第五十三条第一款的规定。</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当事人</w:t>
      </w:r>
      <w:r>
        <w:rPr>
          <w:rFonts w:hint="eastAsia" w:ascii="仿宋" w:hAnsi="仿宋" w:eastAsia="仿宋" w:cs="仿宋"/>
          <w:sz w:val="32"/>
          <w:szCs w:val="32"/>
          <w:lang w:eastAsia="zh-CN"/>
        </w:rPr>
        <w:t>经营</w:t>
      </w:r>
      <w:r>
        <w:rPr>
          <w:rFonts w:hint="eastAsia" w:ascii="仿宋" w:hAnsi="仿宋" w:eastAsia="仿宋" w:cs="仿宋"/>
          <w:sz w:val="32"/>
          <w:szCs w:val="32"/>
        </w:rPr>
        <w:t>标签不符合规定食品的行为</w:t>
      </w:r>
      <w:r>
        <w:rPr>
          <w:rFonts w:hint="eastAsia" w:ascii="仿宋" w:hAnsi="仿宋" w:eastAsia="仿宋" w:cs="仿宋"/>
          <w:sz w:val="32"/>
          <w:szCs w:val="32"/>
          <w:lang w:eastAsia="zh-CN"/>
        </w:rPr>
        <w:t>，</w:t>
      </w:r>
      <w:r>
        <w:rPr>
          <w:rFonts w:hint="eastAsia" w:ascii="仿宋" w:hAnsi="仿宋" w:eastAsia="仿宋" w:cs="仿宋"/>
          <w:sz w:val="32"/>
          <w:szCs w:val="32"/>
        </w:rPr>
        <w:t>鉴于当事人积极配合市场监督管理部门调查，如实陈述违法事实并主动提供证据材料的，</w:t>
      </w:r>
      <w:r>
        <w:rPr>
          <w:rFonts w:hint="eastAsia" w:ascii="仿宋" w:hAnsi="仿宋" w:eastAsia="仿宋" w:cs="仿宋"/>
          <w:sz w:val="32"/>
          <w:szCs w:val="32"/>
          <w:lang w:eastAsia="zh-CN"/>
        </w:rPr>
        <w:t>符合</w:t>
      </w:r>
      <w:r>
        <w:rPr>
          <w:rFonts w:hint="eastAsia" w:ascii="仿宋" w:hAnsi="仿宋" w:eastAsia="仿宋" w:cs="仿宋"/>
          <w:sz w:val="32"/>
          <w:szCs w:val="32"/>
        </w:rPr>
        <w:t>《</w:t>
      </w:r>
      <w:r>
        <w:rPr>
          <w:rFonts w:hint="eastAsia" w:ascii="仿宋" w:hAnsi="仿宋" w:eastAsia="仿宋" w:cs="仿宋"/>
          <w:sz w:val="32"/>
          <w:szCs w:val="32"/>
          <w:lang w:eastAsia="zh-CN"/>
        </w:rPr>
        <w:t>福建省市场监督管理行政处罚裁量权适用规则</w:t>
      </w:r>
      <w:r>
        <w:rPr>
          <w:rFonts w:hint="eastAsia" w:ascii="仿宋" w:hAnsi="仿宋" w:eastAsia="仿宋" w:cs="仿宋"/>
          <w:sz w:val="32"/>
          <w:szCs w:val="32"/>
        </w:rPr>
        <w:t>》第十一条第</w:t>
      </w:r>
      <w:r>
        <w:rPr>
          <w:rFonts w:hint="eastAsia" w:ascii="仿宋" w:hAnsi="仿宋" w:eastAsia="仿宋" w:cs="仿宋"/>
          <w:sz w:val="32"/>
          <w:szCs w:val="32"/>
          <w:lang w:eastAsia="zh-CN"/>
        </w:rPr>
        <w:t>二</w:t>
      </w:r>
      <w:r>
        <w:rPr>
          <w:rFonts w:hint="eastAsia" w:ascii="仿宋" w:hAnsi="仿宋" w:eastAsia="仿宋" w:cs="仿宋"/>
          <w:sz w:val="32"/>
          <w:szCs w:val="32"/>
        </w:rPr>
        <w:t>项规定的情形。参照福建省市场监督管理系统适用《食品安全法》行政处罚裁量基准SP-</w:t>
      </w:r>
      <w:r>
        <w:rPr>
          <w:rFonts w:hint="eastAsia" w:ascii="仿宋" w:hAnsi="仿宋" w:eastAsia="仿宋" w:cs="仿宋"/>
          <w:sz w:val="32"/>
          <w:szCs w:val="32"/>
          <w:lang w:val="en-US" w:eastAsia="zh-CN"/>
        </w:rPr>
        <w:t>4</w:t>
      </w:r>
      <w:r>
        <w:rPr>
          <w:rFonts w:hint="eastAsia" w:ascii="仿宋" w:hAnsi="仿宋" w:eastAsia="仿宋" w:cs="仿宋"/>
          <w:sz w:val="32"/>
          <w:szCs w:val="32"/>
        </w:rPr>
        <w:t>从轻情节依法予以从轻处罚</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当事人涉嫌未履行进货查验义务的行为，鉴于当事人属于初次被发现实施违法行为，没有违法所得，且当事人主动改正该行为，未造成食品安全事故等危害后果，符合《泉州市市场监管领域轻微违法行为不予处罚清单（2023版）》序号</w:t>
      </w:r>
      <w:r>
        <w:rPr>
          <w:rFonts w:hint="eastAsia" w:ascii="仿宋" w:hAnsi="仿宋" w:eastAsia="仿宋" w:cs="仿宋"/>
          <w:sz w:val="32"/>
          <w:szCs w:val="32"/>
          <w:lang w:val="en-US" w:eastAsia="zh-CN"/>
        </w:rPr>
        <w:t>75的适用条件</w:t>
      </w:r>
      <w:r>
        <w:rPr>
          <w:rFonts w:hint="eastAsia" w:ascii="仿宋" w:hAnsi="仿宋" w:eastAsia="仿宋" w:cs="仿宋"/>
          <w:sz w:val="32"/>
          <w:szCs w:val="32"/>
          <w:lang w:eastAsia="zh-CN"/>
        </w:rPr>
        <w:t>，对当事人</w:t>
      </w:r>
      <w:r>
        <w:rPr>
          <w:rFonts w:hint="eastAsia" w:ascii="仿宋" w:hAnsi="仿宋" w:eastAsia="仿宋" w:cs="仿宋"/>
          <w:sz w:val="32"/>
          <w:szCs w:val="32"/>
        </w:rPr>
        <w:t>未履行进货查验义务</w:t>
      </w:r>
      <w:r>
        <w:rPr>
          <w:rFonts w:hint="eastAsia" w:ascii="仿宋" w:hAnsi="仿宋" w:eastAsia="仿宋" w:cs="仿宋"/>
          <w:sz w:val="32"/>
          <w:szCs w:val="32"/>
          <w:lang w:eastAsia="zh-CN"/>
        </w:rPr>
        <w:t>行为依法不予行政处罚。</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综上，一、对</w:t>
      </w:r>
      <w:r>
        <w:rPr>
          <w:rFonts w:hint="eastAsia" w:ascii="仿宋" w:hAnsi="仿宋" w:eastAsia="仿宋" w:cs="仿宋"/>
          <w:sz w:val="32"/>
          <w:szCs w:val="32"/>
          <w:lang w:eastAsia="zh-CN"/>
        </w:rPr>
        <w:t>当事人经营</w:t>
      </w:r>
      <w:r>
        <w:rPr>
          <w:rFonts w:hint="eastAsia" w:ascii="仿宋" w:hAnsi="仿宋" w:eastAsia="仿宋" w:cs="仿宋"/>
          <w:sz w:val="32"/>
          <w:szCs w:val="32"/>
        </w:rPr>
        <w:t>标签不符合规定的</w:t>
      </w:r>
      <w:r>
        <w:rPr>
          <w:rFonts w:hint="eastAsia" w:ascii="仿宋" w:hAnsi="仿宋" w:eastAsia="仿宋" w:cs="仿宋"/>
          <w:sz w:val="32"/>
          <w:szCs w:val="32"/>
          <w:lang w:eastAsia="zh-CN"/>
        </w:rPr>
        <w:t>食品</w:t>
      </w:r>
      <w:r>
        <w:rPr>
          <w:rFonts w:hint="eastAsia" w:ascii="仿宋" w:hAnsi="仿宋" w:eastAsia="仿宋" w:cs="仿宋"/>
          <w:sz w:val="32"/>
          <w:szCs w:val="32"/>
        </w:rPr>
        <w:t>的行为</w:t>
      </w:r>
      <w:r>
        <w:rPr>
          <w:rFonts w:hint="eastAsia" w:ascii="仿宋" w:hAnsi="仿宋" w:eastAsia="仿宋" w:cs="仿宋"/>
          <w:sz w:val="32"/>
          <w:szCs w:val="32"/>
          <w:lang w:eastAsia="zh-CN"/>
        </w:rPr>
        <w:t>，依据《中华人民共和国行政处罚法》第二十八条第一款、</w:t>
      </w:r>
      <w:r>
        <w:rPr>
          <w:rFonts w:hint="eastAsia" w:ascii="仿宋" w:hAnsi="仿宋" w:eastAsia="仿宋" w:cs="仿宋"/>
          <w:sz w:val="32"/>
          <w:szCs w:val="32"/>
        </w:rPr>
        <w:t>《中华人民共和国食品安全法》第一百二十五条第一款</w:t>
      </w:r>
      <w:r>
        <w:rPr>
          <w:rFonts w:hint="eastAsia" w:ascii="仿宋" w:hAnsi="仿宋" w:eastAsia="仿宋" w:cs="仿宋"/>
          <w:sz w:val="32"/>
          <w:szCs w:val="32"/>
          <w:lang w:eastAsia="zh-CN"/>
        </w:rPr>
        <w:t>第二项的规定，本局作出处理如下：</w:t>
      </w:r>
      <w:r>
        <w:rPr>
          <w:rFonts w:hint="eastAsia" w:ascii="仿宋" w:hAnsi="仿宋" w:eastAsia="仿宋" w:cs="仿宋"/>
          <w:sz w:val="32"/>
          <w:szCs w:val="32"/>
        </w:rPr>
        <w:t>处以罚款</w:t>
      </w:r>
      <w:r>
        <w:rPr>
          <w:rFonts w:hint="eastAsia" w:ascii="仿宋" w:hAnsi="仿宋" w:eastAsia="仿宋" w:cs="仿宋"/>
          <w:sz w:val="32"/>
          <w:szCs w:val="32"/>
          <w:lang w:val="en-US" w:eastAsia="zh-CN"/>
        </w:rPr>
        <w:t>5000</w:t>
      </w:r>
      <w:r>
        <w:rPr>
          <w:rFonts w:hint="eastAsia" w:ascii="仿宋" w:hAnsi="仿宋" w:eastAsia="仿宋" w:cs="仿宋"/>
          <w:sz w:val="32"/>
          <w:szCs w:val="32"/>
        </w:rPr>
        <w:t>元。</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color w:val="0000FF"/>
          <w:sz w:val="32"/>
          <w:szCs w:val="32"/>
        </w:rPr>
      </w:pPr>
      <w:r>
        <w:rPr>
          <w:rFonts w:hint="eastAsia" w:ascii="仿宋" w:hAnsi="仿宋" w:eastAsia="仿宋" w:cs="仿宋"/>
          <w:sz w:val="32"/>
          <w:szCs w:val="32"/>
          <w:lang w:eastAsia="zh-CN"/>
        </w:rPr>
        <w:t>对当事人</w:t>
      </w:r>
      <w:r>
        <w:rPr>
          <w:rFonts w:hint="eastAsia" w:ascii="仿宋" w:hAnsi="仿宋" w:eastAsia="仿宋" w:cs="仿宋"/>
          <w:sz w:val="32"/>
          <w:szCs w:val="32"/>
        </w:rPr>
        <w:t>采购食品未履行进货查验义务的行为</w:t>
      </w:r>
      <w:r>
        <w:rPr>
          <w:rFonts w:hint="eastAsia" w:ascii="仿宋" w:hAnsi="仿宋" w:eastAsia="仿宋" w:cs="仿宋"/>
          <w:sz w:val="32"/>
          <w:szCs w:val="32"/>
          <w:lang w:eastAsia="zh-CN"/>
        </w:rPr>
        <w:t>的行为</w:t>
      </w:r>
      <w:r>
        <w:rPr>
          <w:rFonts w:hint="eastAsia" w:ascii="仿宋" w:hAnsi="仿宋" w:eastAsia="仿宋" w:cs="仿宋"/>
          <w:sz w:val="32"/>
          <w:szCs w:val="32"/>
        </w:rPr>
        <w:t>依据</w:t>
      </w:r>
      <w:r>
        <w:rPr>
          <w:rFonts w:hint="eastAsia" w:ascii="仿宋" w:hAnsi="仿宋" w:eastAsia="仿宋" w:cs="仿宋"/>
          <w:sz w:val="32"/>
          <w:szCs w:val="32"/>
          <w:lang w:eastAsia="zh-CN"/>
        </w:rPr>
        <w:t>《行政处罚法》第三十三条第一款及《市场监督管理行政处罚程序规定》第六十条第一款第二项的规定依法作出不予行政处罚</w:t>
      </w:r>
      <w:r>
        <w:rPr>
          <w:rFonts w:hint="eastAsia" w:ascii="仿宋" w:hAnsi="仿宋" w:eastAsia="仿宋" w:cs="仿宋"/>
          <w:sz w:val="32"/>
          <w:szCs w:val="32"/>
        </w:rPr>
        <w:t xml:space="preserve">。 </w:t>
      </w:r>
      <w:r>
        <w:rPr>
          <w:rFonts w:hint="eastAsia" w:ascii="仿宋" w:hAnsi="仿宋" w:eastAsia="仿宋" w:cs="仿宋"/>
          <w:color w:val="0000FF"/>
          <w:sz w:val="32"/>
          <w:szCs w:val="32"/>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default" w:ascii="仿宋" w:hAnsi="仿宋" w:eastAsia="仿宋" w:cs="仿宋"/>
          <w:color w:val="0000FF"/>
          <w:sz w:val="32"/>
          <w:szCs w:val="32"/>
          <w:lang w:val="en-US" w:eastAsia="zh-CN"/>
        </w:rPr>
      </w:pPr>
      <w:r>
        <w:rPr>
          <w:rFonts w:hint="eastAsia" w:ascii="仿宋" w:hAnsi="仿宋" w:eastAsia="仿宋" w:cs="仿宋"/>
          <w:color w:val="0000FF"/>
          <w:sz w:val="32"/>
          <w:szCs w:val="32"/>
          <w:lang w:val="en-US" w:eastAsia="zh-CN"/>
        </w:rPr>
        <w:t xml:space="preserve">    </w:t>
      </w:r>
      <w:r>
        <w:rPr>
          <w:rFonts w:hint="eastAsia" w:ascii="仿宋_GB2312" w:hAnsi="仿宋" w:eastAsia="仿宋_GB2312" w:cs="仿宋_GB2312"/>
          <w:sz w:val="32"/>
          <w:szCs w:val="32"/>
          <w:lang w:eastAsia="zh-CN"/>
        </w:rPr>
        <w:t>依据《中华人民共和国行政处罚法》第三十三条第三款的规定，对</w:t>
      </w:r>
      <w:r>
        <w:rPr>
          <w:rFonts w:hint="eastAsia" w:ascii="仿宋" w:hAnsi="仿宋" w:eastAsia="仿宋" w:cs="仿宋"/>
          <w:sz w:val="32"/>
          <w:szCs w:val="32"/>
          <w:lang w:eastAsia="zh-CN"/>
        </w:rPr>
        <w:t>当事人</w:t>
      </w:r>
      <w:r>
        <w:rPr>
          <w:rFonts w:hint="eastAsia" w:ascii="仿宋_GB2312" w:hAnsi="仿宋" w:eastAsia="仿宋_GB2312" w:cs="仿宋_GB2312"/>
          <w:sz w:val="32"/>
          <w:szCs w:val="32"/>
          <w:lang w:eastAsia="zh-CN"/>
        </w:rPr>
        <w:t>进行教育，具体内容如下：销售食品相关产品，必须按规定履行进货查验并保存相关凭证。</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当事人应当自接到行政处罚决定书之日起十五日内，持福建省政府非税收入缴款通知书（缴款码）通过银行网点或电子支付缴款。当事人逾期不履行行政处罚决定的，本局将依据《中华人民共和国行政处罚法》第七十二条第一款的规定，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                            </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sz w:val="32"/>
          <w:szCs w:val="32"/>
        </w:rPr>
        <w:t>如不服本行政处罚决定，可以在收到本处罚决定书之日起60日内向晋江市人民政府申请行政复议，也可以在6个月内依法向泉州市洛江区人民法院提起行政诉讼。当事人对行政处罚决定不服而申请行政行政复议或提起行政诉讼的，行政处罚不停止执行，法律、法规、规章另有规定的，从其规定</w:t>
      </w:r>
      <w:r>
        <w:rPr>
          <w:rFonts w:hint="eastAsia" w:ascii="仿宋" w:hAnsi="仿宋" w:eastAsia="仿宋" w:cs="仿宋"/>
          <w:color w:val="000000"/>
          <w:sz w:val="32"/>
          <w:szCs w:val="32"/>
        </w:rPr>
        <w:t>。</w:t>
      </w:r>
    </w:p>
    <w:p>
      <w:pPr>
        <w:spacing w:line="400" w:lineRule="exact"/>
        <w:ind w:firstLine="601"/>
        <w:jc w:val="left"/>
        <w:rPr>
          <w:rFonts w:hint="eastAsia" w:ascii="仿宋" w:hAnsi="仿宋" w:eastAsia="仿宋" w:cs="仿宋_GB2312"/>
          <w:color w:val="000000"/>
          <w:sz w:val="32"/>
          <w:szCs w:val="32"/>
        </w:rPr>
      </w:pPr>
    </w:p>
    <w:p>
      <w:pPr>
        <w:spacing w:line="400" w:lineRule="exact"/>
        <w:ind w:firstLine="601"/>
        <w:jc w:val="left"/>
        <w:rPr>
          <w:rFonts w:hint="eastAsia" w:ascii="仿宋" w:hAnsi="仿宋" w:eastAsia="仿宋" w:cs="仿宋_GB2312"/>
          <w:color w:val="000000"/>
          <w:sz w:val="32"/>
          <w:szCs w:val="32"/>
        </w:rPr>
      </w:pPr>
    </w:p>
    <w:p>
      <w:pPr>
        <w:spacing w:line="400" w:lineRule="exact"/>
        <w:ind w:firstLine="601"/>
        <w:jc w:val="right"/>
        <w:rPr>
          <w:rFonts w:ascii="仿宋" w:hAnsi="仿宋" w:eastAsia="仿宋" w:cs="仿宋_GB2312"/>
          <w:color w:val="000000"/>
          <w:sz w:val="32"/>
          <w:szCs w:val="32"/>
        </w:rPr>
      </w:pPr>
      <w:r>
        <w:rPr>
          <w:rFonts w:hint="eastAsia" w:ascii="仿宋" w:hAnsi="仿宋" w:eastAsia="仿宋" w:cs="仿宋_GB2312"/>
          <w:color w:val="000000"/>
          <w:sz w:val="32"/>
          <w:szCs w:val="32"/>
        </w:rPr>
        <w:t>晋江市市场监督管理局</w:t>
      </w:r>
    </w:p>
    <w:p>
      <w:pPr>
        <w:spacing w:line="400" w:lineRule="exact"/>
        <w:ind w:right="640" w:firstLine="601"/>
        <w:jc w:val="center"/>
        <w:rPr>
          <w:rFonts w:ascii="仿宋" w:hAnsi="仿宋" w:eastAsia="仿宋" w:cs="仿宋_GB2312"/>
          <w:color w:val="000000"/>
          <w:sz w:val="32"/>
          <w:szCs w:val="32"/>
        </w:rPr>
      </w:pPr>
      <w:r>
        <w:rPr>
          <w:rFonts w:hint="eastAsia" w:ascii="仿宋" w:hAnsi="仿宋" w:eastAsia="仿宋" w:cs="仿宋_GB2312"/>
          <w:color w:val="000000"/>
          <w:sz w:val="32"/>
          <w:szCs w:val="32"/>
        </w:rPr>
        <w:t xml:space="preserve">                                   </w:t>
      </w:r>
    </w:p>
    <w:p>
      <w:pPr>
        <w:spacing w:line="400" w:lineRule="exact"/>
        <w:ind w:right="-58" w:firstLine="5440" w:firstLineChars="1700"/>
        <w:rPr>
          <w:rFonts w:ascii="仿宋" w:hAnsi="仿宋" w:eastAsia="仿宋" w:cs="仿宋_GB2312"/>
          <w:color w:val="000000"/>
          <w:sz w:val="30"/>
          <w:szCs w:val="30"/>
        </w:rPr>
      </w:pPr>
      <w:r>
        <w:rPr>
          <w:rFonts w:hint="eastAsia" w:ascii="仿宋" w:hAnsi="仿宋" w:eastAsia="仿宋" w:cs="仿宋_GB2312"/>
          <w:sz w:val="32"/>
          <w:szCs w:val="32"/>
        </w:rPr>
        <w:t>202</w:t>
      </w:r>
      <w:r>
        <w:rPr>
          <w:rFonts w:hint="eastAsia" w:ascii="仿宋" w:hAnsi="仿宋" w:eastAsia="仿宋" w:cs="仿宋_GB2312"/>
          <w:sz w:val="32"/>
          <w:szCs w:val="32"/>
          <w:lang w:val="en-US" w:eastAsia="zh-CN"/>
        </w:rPr>
        <w:t>4</w:t>
      </w:r>
      <w:r>
        <w:rPr>
          <w:rFonts w:hint="eastAsia" w:ascii="仿宋" w:hAnsi="仿宋" w:eastAsia="仿宋" w:cs="仿宋_GB2312"/>
          <w:sz w:val="32"/>
          <w:szCs w:val="32"/>
        </w:rPr>
        <w:t>年</w:t>
      </w:r>
      <w:r>
        <w:rPr>
          <w:rFonts w:hint="eastAsia" w:ascii="仿宋" w:hAnsi="仿宋" w:eastAsia="仿宋" w:cs="仿宋_GB2312"/>
          <w:sz w:val="32"/>
          <w:szCs w:val="32"/>
          <w:lang w:val="en-US" w:eastAsia="zh-CN"/>
        </w:rPr>
        <w:t>11</w:t>
      </w:r>
      <w:r>
        <w:rPr>
          <w:rFonts w:hint="eastAsia" w:ascii="仿宋" w:hAnsi="仿宋" w:eastAsia="仿宋" w:cs="仿宋_GB2312"/>
          <w:sz w:val="32"/>
          <w:szCs w:val="32"/>
        </w:rPr>
        <w:t>月</w:t>
      </w:r>
      <w:r>
        <w:rPr>
          <w:rFonts w:hint="eastAsia" w:ascii="仿宋" w:hAnsi="仿宋" w:eastAsia="仿宋" w:cs="仿宋_GB2312"/>
          <w:sz w:val="32"/>
          <w:szCs w:val="32"/>
          <w:lang w:val="en-US" w:eastAsia="zh-CN"/>
        </w:rPr>
        <w:t>5</w:t>
      </w:r>
      <w:r>
        <w:rPr>
          <w:rFonts w:hint="eastAsia" w:ascii="仿宋" w:hAnsi="仿宋" w:eastAsia="仿宋" w:cs="仿宋_GB2312"/>
          <w:sz w:val="32"/>
          <w:szCs w:val="32"/>
        </w:rPr>
        <w:t>日</w:t>
      </w:r>
    </w:p>
    <w:p>
      <w:pPr>
        <w:snapToGrid w:val="0"/>
        <w:spacing w:line="400" w:lineRule="exact"/>
        <w:jc w:val="both"/>
        <w:rPr>
          <w:rFonts w:ascii="仿宋" w:hAnsi="仿宋" w:eastAsia="仿宋" w:cs="Times New Roman"/>
          <w:color w:val="000000"/>
          <w:sz w:val="30"/>
          <w:szCs w:val="30"/>
        </w:rPr>
      </w:pPr>
    </w:p>
    <w:p>
      <w:pPr>
        <w:snapToGrid w:val="0"/>
        <w:spacing w:line="400" w:lineRule="exact"/>
        <w:jc w:val="both"/>
        <w:rPr>
          <w:rFonts w:ascii="仿宋" w:hAnsi="仿宋" w:eastAsia="仿宋" w:cs="Times New Roman"/>
          <w:color w:val="000000"/>
          <w:sz w:val="30"/>
          <w:szCs w:val="30"/>
        </w:rPr>
      </w:pPr>
    </w:p>
    <w:p>
      <w:pPr>
        <w:snapToGrid w:val="0"/>
        <w:spacing w:line="400" w:lineRule="exact"/>
        <w:ind w:firstLine="426" w:firstLineChars="150"/>
        <w:rPr>
          <w:rFonts w:ascii="仿宋" w:hAnsi="仿宋" w:eastAsia="仿宋" w:cs="Times New Roman"/>
          <w:b/>
          <w:bCs/>
          <w:color w:val="000000"/>
          <w:sz w:val="30"/>
          <w:szCs w:val="30"/>
        </w:rPr>
      </w:pPr>
      <w:r>
        <w:rPr>
          <w:rFonts w:hint="eastAsia" w:ascii="仿宋" w:hAnsi="仿宋" w:eastAsia="仿宋" w:cs="仿宋_GB2312"/>
          <w:color w:val="000000"/>
          <w:spacing w:val="-8"/>
          <w:sz w:val="30"/>
          <w:szCs w:val="30"/>
        </w:rPr>
        <w:t>（</w:t>
      </w:r>
      <w:r>
        <w:rPr>
          <w:rFonts w:hint="eastAsia" w:ascii="仿宋" w:hAnsi="仿宋" w:eastAsia="仿宋" w:cs="仿宋_GB2312"/>
          <w:b/>
          <w:bCs/>
          <w:color w:val="000000"/>
          <w:spacing w:val="-8"/>
          <w:sz w:val="30"/>
          <w:szCs w:val="30"/>
        </w:rPr>
        <w:t>市场监督管理部门将依法向社会公开行政处罚决定信息</w:t>
      </w:r>
      <w:r>
        <w:rPr>
          <w:rFonts w:hint="eastAsia" w:ascii="仿宋" w:hAnsi="仿宋" w:eastAsia="仿宋" w:cs="仿宋_GB2312"/>
          <w:color w:val="000000"/>
          <w:spacing w:val="-8"/>
          <w:sz w:val="30"/>
          <w:szCs w:val="30"/>
        </w:rPr>
        <w:t>）</w:t>
      </w:r>
    </w:p>
    <w:p>
      <w:pPr>
        <w:snapToGrid w:val="0"/>
        <w:spacing w:line="400" w:lineRule="exact"/>
        <w:rPr>
          <w:rFonts w:ascii="仿宋" w:hAnsi="仿宋" w:eastAsia="仿宋" w:cs="Times New Roman"/>
          <w:b/>
          <w:bCs/>
          <w:color w:val="000000"/>
          <w:sz w:val="30"/>
          <w:szCs w:val="30"/>
        </w:rPr>
      </w:pPr>
      <w:r>
        <w:rPr>
          <w:rFonts w:ascii="仿宋" w:hAnsi="仿宋" w:eastAsia="仿宋"/>
        </w:rPr>
        <w:pict>
          <v:line id="_x0000_s2051" o:spid="_x0000_s2051" o:spt="20" style="position:absolute;left:0pt;margin-left:-3.85pt;margin-top:7.25pt;height:0.05pt;width:437.05pt;z-index:251659264;mso-width-relative:page;mso-height-relative:page;" coordsize="21600,21600">
            <v:path arrowok="t"/>
            <v:fill focussize="0,0"/>
            <v:stroke weight="1.25pt"/>
            <v:imagedata o:title=""/>
            <o:lock v:ext="edit"/>
          </v:line>
        </w:pict>
      </w:r>
    </w:p>
    <w:p>
      <w:pPr>
        <w:spacing w:line="400" w:lineRule="exact"/>
        <w:rPr>
          <w:rFonts w:ascii="仿宋" w:hAnsi="仿宋" w:eastAsia="仿宋" w:cs="Times New Roman"/>
          <w:color w:val="000000"/>
          <w:sz w:val="30"/>
          <w:szCs w:val="30"/>
        </w:rPr>
      </w:pPr>
      <w:r>
        <w:rPr>
          <w:rFonts w:ascii="仿宋" w:hAnsi="仿宋" w:eastAsia="仿宋"/>
        </w:rPr>
        <w:pict>
          <v:line id="_x0000_s2052" o:spid="_x0000_s2052" o:spt="20" style="position:absolute;left:0pt;margin-left:0pt;margin-top:1638.35pt;height:0.1pt;width:453.75pt;z-index:251659264;mso-width-relative:page;mso-height-relative:page;" coordsize="21600,21600">
            <v:path arrowok="t"/>
            <v:fill focussize="0,0"/>
            <v:stroke weight="0.737007874015748pt" endcap="square"/>
            <v:imagedata o:title=""/>
            <o:lock v:ext="edit"/>
          </v:line>
        </w:pict>
      </w:r>
      <w:r>
        <w:rPr>
          <w:rFonts w:hint="eastAsia" w:ascii="仿宋" w:hAnsi="仿宋" w:eastAsia="仿宋" w:cs="仿宋_GB2312"/>
          <w:color w:val="000000"/>
          <w:sz w:val="30"/>
          <w:szCs w:val="30"/>
        </w:rPr>
        <w:t>本文书一式</w:t>
      </w:r>
      <w:r>
        <w:rPr>
          <w:rFonts w:ascii="仿宋" w:hAnsi="仿宋" w:eastAsia="仿宋" w:cs="仿宋_GB2312"/>
          <w:color w:val="000000"/>
          <w:sz w:val="30"/>
          <w:szCs w:val="30"/>
          <w:u w:val="single"/>
        </w:rPr>
        <w:t xml:space="preserve"> </w:t>
      </w:r>
      <w:r>
        <w:rPr>
          <w:rFonts w:hint="eastAsia" w:ascii="仿宋" w:hAnsi="仿宋" w:eastAsia="仿宋" w:cs="仿宋_GB2312"/>
          <w:color w:val="000000"/>
          <w:sz w:val="30"/>
          <w:szCs w:val="30"/>
          <w:u w:val="single"/>
        </w:rPr>
        <w:t>叁</w:t>
      </w:r>
      <w:r>
        <w:rPr>
          <w:rFonts w:ascii="仿宋" w:hAnsi="仿宋" w:eastAsia="仿宋" w:cs="仿宋_GB2312"/>
          <w:color w:val="000000"/>
          <w:sz w:val="30"/>
          <w:szCs w:val="30"/>
          <w:u w:val="single"/>
        </w:rPr>
        <w:t xml:space="preserve"> </w:t>
      </w:r>
      <w:r>
        <w:rPr>
          <w:rFonts w:hint="eastAsia" w:ascii="仿宋" w:hAnsi="仿宋" w:eastAsia="仿宋" w:cs="仿宋_GB2312"/>
          <w:color w:val="000000"/>
          <w:sz w:val="30"/>
          <w:szCs w:val="30"/>
        </w:rPr>
        <w:t>份，</w:t>
      </w:r>
      <w:r>
        <w:rPr>
          <w:rFonts w:ascii="仿宋" w:hAnsi="仿宋" w:eastAsia="仿宋" w:cs="仿宋_GB2312"/>
          <w:color w:val="000000"/>
          <w:sz w:val="30"/>
          <w:szCs w:val="30"/>
          <w:u w:val="single"/>
        </w:rPr>
        <w:t xml:space="preserve"> </w:t>
      </w:r>
      <w:r>
        <w:rPr>
          <w:rFonts w:hint="eastAsia" w:ascii="仿宋" w:hAnsi="仿宋" w:eastAsia="仿宋" w:cs="仿宋_GB2312"/>
          <w:color w:val="000000"/>
          <w:sz w:val="30"/>
          <w:szCs w:val="30"/>
          <w:u w:val="single"/>
        </w:rPr>
        <w:t>一</w:t>
      </w:r>
      <w:r>
        <w:rPr>
          <w:rFonts w:hint="eastAsia" w:ascii="仿宋" w:hAnsi="仿宋" w:eastAsia="仿宋" w:cs="仿宋_GB2312"/>
          <w:color w:val="000000"/>
          <w:sz w:val="30"/>
          <w:szCs w:val="30"/>
        </w:rPr>
        <w:t>份送达，一份归档，</w:t>
      </w:r>
      <w:r>
        <w:rPr>
          <w:rFonts w:hint="eastAsia" w:ascii="仿宋" w:hAnsi="仿宋" w:eastAsia="仿宋" w:cs="仿宋_GB2312"/>
          <w:color w:val="000000"/>
          <w:sz w:val="30"/>
          <w:szCs w:val="30"/>
          <w:u w:val="single"/>
        </w:rPr>
        <w:t>一份留存</w:t>
      </w:r>
      <w:r>
        <w:rPr>
          <w:rFonts w:ascii="仿宋" w:hAnsi="仿宋" w:eastAsia="仿宋" w:cs="仿宋_GB2312"/>
          <w:color w:val="000000"/>
          <w:sz w:val="30"/>
          <w:szCs w:val="30"/>
          <w:u w:val="single"/>
        </w:rPr>
        <w:t xml:space="preserve">  </w:t>
      </w:r>
      <w:r>
        <w:rPr>
          <w:rFonts w:hint="eastAsia" w:ascii="仿宋" w:hAnsi="仿宋" w:eastAsia="仿宋" w:cs="仿宋_GB2312"/>
          <w:color w:val="000000"/>
          <w:sz w:val="30"/>
          <w:szCs w:val="30"/>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86860"/>
    <w:multiLevelType w:val="singleLevel"/>
    <w:tmpl w:val="15D8686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938A9"/>
    <w:rsid w:val="000146A0"/>
    <w:rsid w:val="0001734E"/>
    <w:rsid w:val="00034705"/>
    <w:rsid w:val="00052F5A"/>
    <w:rsid w:val="00060F5F"/>
    <w:rsid w:val="000A0D18"/>
    <w:rsid w:val="000B20A8"/>
    <w:rsid w:val="000B2B94"/>
    <w:rsid w:val="000B3217"/>
    <w:rsid w:val="000B53D0"/>
    <w:rsid w:val="000B5EC8"/>
    <w:rsid w:val="000B67DB"/>
    <w:rsid w:val="000C5442"/>
    <w:rsid w:val="000D5226"/>
    <w:rsid w:val="000E3B2F"/>
    <w:rsid w:val="00113082"/>
    <w:rsid w:val="00131492"/>
    <w:rsid w:val="001356EF"/>
    <w:rsid w:val="001445AB"/>
    <w:rsid w:val="00151DC5"/>
    <w:rsid w:val="0016632B"/>
    <w:rsid w:val="001A7A73"/>
    <w:rsid w:val="001C1061"/>
    <w:rsid w:val="001C5EE5"/>
    <w:rsid w:val="001E3F95"/>
    <w:rsid w:val="002157DC"/>
    <w:rsid w:val="00246B2D"/>
    <w:rsid w:val="00252236"/>
    <w:rsid w:val="002565AC"/>
    <w:rsid w:val="0026010F"/>
    <w:rsid w:val="002809E1"/>
    <w:rsid w:val="002A3C85"/>
    <w:rsid w:val="002D1057"/>
    <w:rsid w:val="002D61B5"/>
    <w:rsid w:val="002E5986"/>
    <w:rsid w:val="0034092F"/>
    <w:rsid w:val="003434FA"/>
    <w:rsid w:val="0036021C"/>
    <w:rsid w:val="003938A9"/>
    <w:rsid w:val="00393C6E"/>
    <w:rsid w:val="003A0F81"/>
    <w:rsid w:val="003B1197"/>
    <w:rsid w:val="003F66C4"/>
    <w:rsid w:val="003F7D94"/>
    <w:rsid w:val="0044271B"/>
    <w:rsid w:val="00447BF4"/>
    <w:rsid w:val="0046730D"/>
    <w:rsid w:val="004947ED"/>
    <w:rsid w:val="004B6840"/>
    <w:rsid w:val="004D5BFC"/>
    <w:rsid w:val="004F348E"/>
    <w:rsid w:val="00532F14"/>
    <w:rsid w:val="005379C8"/>
    <w:rsid w:val="00583FAA"/>
    <w:rsid w:val="006161F9"/>
    <w:rsid w:val="00640A46"/>
    <w:rsid w:val="00724FD9"/>
    <w:rsid w:val="00727E2C"/>
    <w:rsid w:val="00733E2E"/>
    <w:rsid w:val="00747F10"/>
    <w:rsid w:val="007847BD"/>
    <w:rsid w:val="007B31CD"/>
    <w:rsid w:val="007B3D20"/>
    <w:rsid w:val="00831474"/>
    <w:rsid w:val="008731DB"/>
    <w:rsid w:val="008A4D06"/>
    <w:rsid w:val="008B687B"/>
    <w:rsid w:val="008D18A3"/>
    <w:rsid w:val="009405D3"/>
    <w:rsid w:val="009479CD"/>
    <w:rsid w:val="00990A0A"/>
    <w:rsid w:val="009B4B1A"/>
    <w:rsid w:val="009C411A"/>
    <w:rsid w:val="009C50AD"/>
    <w:rsid w:val="00A60ABD"/>
    <w:rsid w:val="00A668D3"/>
    <w:rsid w:val="00AA1F2C"/>
    <w:rsid w:val="00AB20C4"/>
    <w:rsid w:val="00AB3865"/>
    <w:rsid w:val="00B04331"/>
    <w:rsid w:val="00B11CFB"/>
    <w:rsid w:val="00B350BB"/>
    <w:rsid w:val="00B372E6"/>
    <w:rsid w:val="00B65081"/>
    <w:rsid w:val="00B82EB2"/>
    <w:rsid w:val="00BA705F"/>
    <w:rsid w:val="00BE1A49"/>
    <w:rsid w:val="00BF32F8"/>
    <w:rsid w:val="00C06CAA"/>
    <w:rsid w:val="00C22208"/>
    <w:rsid w:val="00C400B0"/>
    <w:rsid w:val="00C4617C"/>
    <w:rsid w:val="00C57459"/>
    <w:rsid w:val="00CA43E5"/>
    <w:rsid w:val="00CC3525"/>
    <w:rsid w:val="00CE3B1C"/>
    <w:rsid w:val="00D20AB7"/>
    <w:rsid w:val="00D2471A"/>
    <w:rsid w:val="00D455E6"/>
    <w:rsid w:val="00D70F87"/>
    <w:rsid w:val="00D7203D"/>
    <w:rsid w:val="00D73792"/>
    <w:rsid w:val="00DA7E69"/>
    <w:rsid w:val="00DC139D"/>
    <w:rsid w:val="00DD59A2"/>
    <w:rsid w:val="00DD5CB8"/>
    <w:rsid w:val="00DF6A46"/>
    <w:rsid w:val="00E0344E"/>
    <w:rsid w:val="00E16F6D"/>
    <w:rsid w:val="00E328AF"/>
    <w:rsid w:val="00E37190"/>
    <w:rsid w:val="00E445D8"/>
    <w:rsid w:val="00E65B3D"/>
    <w:rsid w:val="00E74BDA"/>
    <w:rsid w:val="00E86BF8"/>
    <w:rsid w:val="00EA3361"/>
    <w:rsid w:val="00EC6453"/>
    <w:rsid w:val="00EC6C21"/>
    <w:rsid w:val="00EF2EFC"/>
    <w:rsid w:val="00EF4513"/>
    <w:rsid w:val="00EF7226"/>
    <w:rsid w:val="00F02E05"/>
    <w:rsid w:val="00F07A8D"/>
    <w:rsid w:val="00F27514"/>
    <w:rsid w:val="00F46B71"/>
    <w:rsid w:val="00F50CB1"/>
    <w:rsid w:val="00F830E3"/>
    <w:rsid w:val="00FB0FF9"/>
    <w:rsid w:val="00FC6934"/>
    <w:rsid w:val="07CD18D8"/>
    <w:rsid w:val="08F80131"/>
    <w:rsid w:val="12B04EAC"/>
    <w:rsid w:val="185C46FA"/>
    <w:rsid w:val="1B4B118E"/>
    <w:rsid w:val="229A7954"/>
    <w:rsid w:val="28F65B37"/>
    <w:rsid w:val="2C2C6CDE"/>
    <w:rsid w:val="3594577F"/>
    <w:rsid w:val="45365CB9"/>
    <w:rsid w:val="49EA7A21"/>
    <w:rsid w:val="4A0D1509"/>
    <w:rsid w:val="4EAD274A"/>
    <w:rsid w:val="50AC617C"/>
    <w:rsid w:val="60E73F7C"/>
    <w:rsid w:val="6C2B2CD4"/>
    <w:rsid w:val="72835C1E"/>
    <w:rsid w:val="7E177FF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0"/>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qFormat/>
    <w:uiPriority w:val="99"/>
    <w:pPr>
      <w:ind w:left="100" w:leftChars="2500"/>
    </w:pPr>
  </w:style>
  <w:style w:type="paragraph" w:styleId="3">
    <w:name w:val="Balloon Text"/>
    <w:basedOn w:val="1"/>
    <w:link w:val="9"/>
    <w:semiHidden/>
    <w:qFormat/>
    <w:uiPriority w:val="99"/>
    <w:rPr>
      <w:sz w:val="18"/>
      <w:szCs w:val="18"/>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日期 Char"/>
    <w:basedOn w:val="7"/>
    <w:link w:val="2"/>
    <w:semiHidden/>
    <w:qFormat/>
    <w:locked/>
    <w:uiPriority w:val="99"/>
  </w:style>
  <w:style w:type="character" w:customStyle="1" w:styleId="9">
    <w:name w:val="批注框文本 Char"/>
    <w:basedOn w:val="7"/>
    <w:link w:val="3"/>
    <w:semiHidden/>
    <w:qFormat/>
    <w:locked/>
    <w:uiPriority w:val="99"/>
    <w:rPr>
      <w:sz w:val="18"/>
      <w:szCs w:val="18"/>
    </w:rPr>
  </w:style>
  <w:style w:type="character" w:customStyle="1" w:styleId="10">
    <w:name w:val="页脚 Char"/>
    <w:basedOn w:val="7"/>
    <w:link w:val="4"/>
    <w:semiHidden/>
    <w:qFormat/>
    <w:locked/>
    <w:uiPriority w:val="99"/>
    <w:rPr>
      <w:sz w:val="18"/>
      <w:szCs w:val="18"/>
    </w:rPr>
  </w:style>
  <w:style w:type="character" w:customStyle="1" w:styleId="11">
    <w:name w:val="页眉 Char"/>
    <w:basedOn w:val="7"/>
    <w:link w:val="5"/>
    <w:semiHidden/>
    <w:qFormat/>
    <w:locked/>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DE2CFC-023B-47E0-A46E-4D9CEE2563B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992</Words>
  <Characters>650</Characters>
  <Lines>5</Lines>
  <Paragraphs>3</Paragraphs>
  <TotalTime>0</TotalTime>
  <ScaleCrop>false</ScaleCrop>
  <LinksUpToDate>false</LinksUpToDate>
  <CharactersWithSpaces>1639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2019-06-12T02:21:00Z</dcterms:created>
  <dc:creator>吴清波</dc:creator>
  <cp:lastModifiedBy>施婉弘</cp:lastModifiedBy>
  <cp:lastPrinted>2021-08-16T03:23:00Z</cp:lastPrinted>
  <dcterms:modified xsi:type="dcterms:W3CDTF">2024-12-04T04:04:29Z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941E8E4766F24C43BB2EE942F2C7276C</vt:lpwstr>
  </property>
</Properties>
</file>