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pPr>
        <w:pStyle w:val="6"/>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pPr>
        <w:tabs>
          <w:tab w:val="left" w:pos="2725"/>
        </w:tabs>
        <w:spacing w:before="156" w:beforeLines="50" w:after="156"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晋市监处罚〔2024〕07-</w:t>
      </w:r>
      <w:r>
        <w:rPr>
          <w:rFonts w:ascii="仿宋" w:hAnsi="仿宋" w:eastAsia="仿宋" w:cs="仿宋"/>
          <w:sz w:val="32"/>
          <w:szCs w:val="32"/>
        </w:rPr>
        <w:t>130</w:t>
      </w:r>
      <w:r>
        <w:rPr>
          <w:rFonts w:hint="eastAsia" w:ascii="仿宋" w:hAnsi="仿宋" w:eastAsia="仿宋" w:cs="仿宋"/>
          <w:sz w:val="32"/>
          <w:szCs w:val="32"/>
        </w:rPr>
        <w:t>号</w:t>
      </w:r>
    </w:p>
    <w:p>
      <w:pPr>
        <w:widowControl w:val="0"/>
        <w:kinsoku/>
        <w:spacing w:line="560" w:lineRule="exact"/>
        <w:rPr>
          <w:rFonts w:ascii="仿宋" w:hAnsi="仿宋" w:eastAsia="仿宋" w:cs="仿宋"/>
          <w:sz w:val="32"/>
          <w:szCs w:val="32"/>
        </w:rPr>
      </w:pPr>
      <w:r>
        <w:rPr>
          <w:rFonts w:hint="eastAsia" w:ascii="仿宋" w:hAnsi="仿宋" w:eastAsia="仿宋" w:cs="仿宋"/>
          <w:sz w:val="32"/>
          <w:szCs w:val="32"/>
        </w:rPr>
        <w:t>当事人：</w:t>
      </w:r>
      <w:r>
        <w:rPr>
          <w:rFonts w:hint="eastAsia" w:ascii="仿宋" w:hAnsi="仿宋" w:eastAsia="仿宋" w:cs="仿宋"/>
          <w:sz w:val="32"/>
          <w:szCs w:val="32"/>
          <w:u w:val="single"/>
        </w:rPr>
        <w:t xml:space="preserve">  晋江市东石寻味来小吃店                                       </w:t>
      </w:r>
      <w:r>
        <w:rPr>
          <w:rFonts w:hint="eastAsia" w:ascii="仿宋" w:hAnsi="仿宋" w:eastAsia="仿宋" w:cs="仿宋"/>
          <w:sz w:val="32"/>
          <w:szCs w:val="32"/>
        </w:rPr>
        <w:t xml:space="preserve"> 主体资格证照名称：</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营业执照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统一社会信用代码：</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92350582MA330J7609</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住所（住址）：</w:t>
      </w:r>
      <w:r>
        <w:rPr>
          <w:rFonts w:hint="eastAsia" w:ascii="仿宋" w:hAnsi="仿宋" w:eastAsia="仿宋" w:cs="仿宋"/>
          <w:sz w:val="32"/>
          <w:szCs w:val="32"/>
          <w:u w:val="single"/>
        </w:rPr>
        <w:t>福建省泉州市晋江市东石镇第五社区</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pPr>
        <w:widowControl w:val="0"/>
        <w:kinsoku/>
        <w:spacing w:line="560" w:lineRule="exact"/>
        <w:rPr>
          <w:rFonts w:ascii="仿宋" w:hAnsi="仿宋" w:eastAsia="仿宋" w:cs="仿宋"/>
          <w:sz w:val="32"/>
          <w:szCs w:val="32"/>
        </w:rPr>
      </w:pPr>
      <w:r>
        <w:rPr>
          <w:rFonts w:hint="eastAsia" w:ascii="仿宋" w:hAnsi="仿宋" w:eastAsia="仿宋" w:cs="仿宋"/>
          <w:sz w:val="32"/>
          <w:szCs w:val="32"/>
        </w:rPr>
        <w:t>法定代表人（负责人、经营者）：</w:t>
      </w:r>
      <w:r>
        <w:rPr>
          <w:rFonts w:ascii="仿宋" w:hAnsi="仿宋" w:eastAsia="仿宋" w:cs="仿宋"/>
          <w:sz w:val="32"/>
          <w:szCs w:val="32"/>
          <w:u w:val="single"/>
        </w:rPr>
        <w:t xml:space="preserve">  </w:t>
      </w:r>
      <w:r>
        <w:rPr>
          <w:rFonts w:hint="eastAsia" w:ascii="仿宋" w:hAnsi="仿宋" w:eastAsia="仿宋" w:cs="仿宋"/>
          <w:sz w:val="32"/>
          <w:szCs w:val="32"/>
          <w:u w:val="single"/>
        </w:rPr>
        <w:t>黄惠炳</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p>
    <w:p>
      <w:pPr>
        <w:widowControl w:val="0"/>
        <w:kinsoku/>
        <w:spacing w:line="560" w:lineRule="exact"/>
        <w:ind w:firstLine="640" w:firstLineChars="200"/>
        <w:rPr>
          <w:rFonts w:ascii="仿宋" w:hAnsi="仿宋" w:eastAsia="仿宋" w:cs="仿宋_GB2312"/>
          <w:sz w:val="32"/>
          <w:szCs w:val="32"/>
        </w:rPr>
      </w:pPr>
      <w:r>
        <w:rPr>
          <w:rFonts w:ascii="仿宋" w:hAnsi="仿宋" w:eastAsia="仿宋" w:cs="Times New Roman"/>
          <w:kern w:val="1"/>
          <w:sz w:val="32"/>
          <w:szCs w:val="32"/>
        </w:rPr>
        <w:t>2024</w:t>
      </w:r>
      <w:r>
        <w:rPr>
          <w:rFonts w:hint="eastAsia" w:ascii="仿宋" w:hAnsi="仿宋" w:eastAsia="仿宋" w:cs="Times New Roman"/>
          <w:kern w:val="1"/>
          <w:sz w:val="32"/>
          <w:szCs w:val="32"/>
        </w:rPr>
        <w:t>年</w:t>
      </w:r>
      <w:r>
        <w:rPr>
          <w:rFonts w:ascii="仿宋" w:hAnsi="仿宋" w:eastAsia="仿宋" w:cs="Times New Roman"/>
          <w:kern w:val="1"/>
          <w:sz w:val="32"/>
          <w:szCs w:val="32"/>
        </w:rPr>
        <w:t>11</w:t>
      </w:r>
      <w:r>
        <w:rPr>
          <w:rFonts w:hint="eastAsia" w:ascii="仿宋" w:hAnsi="仿宋" w:eastAsia="仿宋" w:cs="Times New Roman"/>
          <w:kern w:val="1"/>
          <w:sz w:val="32"/>
          <w:szCs w:val="32"/>
        </w:rPr>
        <w:t>月</w:t>
      </w:r>
      <w:r>
        <w:rPr>
          <w:rFonts w:ascii="仿宋" w:hAnsi="仿宋" w:eastAsia="仿宋" w:cs="Times New Roman"/>
          <w:kern w:val="1"/>
          <w:sz w:val="32"/>
          <w:szCs w:val="32"/>
        </w:rPr>
        <w:t>1</w:t>
      </w:r>
      <w:r>
        <w:rPr>
          <w:rFonts w:hint="eastAsia" w:ascii="仿宋" w:hAnsi="仿宋" w:eastAsia="仿宋" w:cs="Times New Roman"/>
          <w:kern w:val="1"/>
          <w:sz w:val="32"/>
          <w:szCs w:val="32"/>
        </w:rPr>
        <w:t>日上午，本局执法人员根据福建省政府信访局人民群众信访登记表（闽信网诉</w:t>
      </w:r>
      <w:r>
        <w:rPr>
          <w:rFonts w:ascii="仿宋" w:hAnsi="仿宋" w:eastAsia="仿宋" w:cs="Times New Roman"/>
          <w:kern w:val="1"/>
          <w:sz w:val="32"/>
          <w:szCs w:val="32"/>
        </w:rPr>
        <w:t>[2024]21057</w:t>
      </w:r>
      <w:r>
        <w:rPr>
          <w:rFonts w:hint="eastAsia" w:ascii="仿宋" w:hAnsi="仿宋" w:eastAsia="仿宋" w:cs="Times New Roman"/>
          <w:kern w:val="1"/>
          <w:sz w:val="32"/>
          <w:szCs w:val="32"/>
        </w:rPr>
        <w:t>号）依法对</w:t>
      </w:r>
      <w:r>
        <w:rPr>
          <w:rFonts w:hint="eastAsia" w:ascii="仿宋" w:hAnsi="仿宋" w:eastAsia="仿宋" w:cs="Times New Roman"/>
          <w:kern w:val="1"/>
          <w:sz w:val="32"/>
          <w:szCs w:val="32"/>
          <w:lang w:eastAsia="zh-CN"/>
        </w:rPr>
        <w:t>当事人</w:t>
      </w:r>
      <w:r>
        <w:rPr>
          <w:rFonts w:hint="eastAsia" w:ascii="仿宋" w:hAnsi="仿宋" w:eastAsia="仿宋" w:cs="Times New Roman"/>
          <w:kern w:val="1"/>
          <w:sz w:val="32"/>
          <w:szCs w:val="32"/>
        </w:rPr>
        <w:t>位于福建省泉州市晋江市东石镇第五社区的</w:t>
      </w:r>
      <w:r>
        <w:rPr>
          <w:rFonts w:hint="eastAsia" w:ascii="仿宋" w:hAnsi="仿宋" w:eastAsia="仿宋" w:cs="Times New Roman"/>
          <w:kern w:val="1"/>
          <w:sz w:val="32"/>
          <w:szCs w:val="32"/>
          <w:lang w:eastAsia="zh-CN"/>
        </w:rPr>
        <w:t>经营场所</w:t>
      </w:r>
      <w:r>
        <w:rPr>
          <w:rFonts w:hint="eastAsia" w:ascii="仿宋" w:hAnsi="仿宋" w:eastAsia="仿宋" w:cs="Times New Roman"/>
          <w:kern w:val="1"/>
          <w:sz w:val="32"/>
          <w:szCs w:val="32"/>
        </w:rPr>
        <w:t>进行检查，该店证照齐全</w:t>
      </w:r>
      <w:bookmarkStart w:id="0" w:name="_GoBack"/>
      <w:bookmarkEnd w:id="0"/>
      <w:r>
        <w:rPr>
          <w:rFonts w:hint="eastAsia" w:ascii="仿宋" w:hAnsi="仿宋" w:eastAsia="仿宋" w:cs="Times New Roman"/>
          <w:kern w:val="1"/>
          <w:sz w:val="32"/>
          <w:szCs w:val="32"/>
        </w:rPr>
        <w:t>有效，持有合法的经营资质，正常经营。执法人员现场检查发现该店后厨操作间垃圾桶未配备盖子，不能起到防止有害生物侵入、不良气味或污水溢出等作用。当事人其行为涉嫌违反了《中华人民共和国食品安全法》第三十三条第一款第二项和《餐饮服务食品安全操作规范》</w:t>
      </w:r>
      <w:r>
        <w:rPr>
          <w:rFonts w:ascii="仿宋" w:hAnsi="仿宋" w:eastAsia="仿宋" w:cs="Times New Roman"/>
          <w:kern w:val="1"/>
          <w:sz w:val="32"/>
          <w:szCs w:val="32"/>
        </w:rPr>
        <w:t>11.1.2</w:t>
      </w:r>
      <w:r>
        <w:rPr>
          <w:rFonts w:hint="eastAsia" w:ascii="仿宋" w:hAnsi="仿宋" w:eastAsia="仿宋" w:cs="Times New Roman"/>
          <w:kern w:val="1"/>
          <w:sz w:val="32"/>
          <w:szCs w:val="32"/>
        </w:rPr>
        <w:t>的规定，报领导批准，于</w:t>
      </w:r>
      <w:r>
        <w:rPr>
          <w:rFonts w:ascii="仿宋" w:hAnsi="仿宋" w:eastAsia="仿宋" w:cs="Times New Roman"/>
          <w:kern w:val="1"/>
          <w:sz w:val="32"/>
          <w:szCs w:val="32"/>
        </w:rPr>
        <w:t>2024</w:t>
      </w:r>
      <w:r>
        <w:rPr>
          <w:rFonts w:hint="eastAsia" w:ascii="仿宋" w:hAnsi="仿宋" w:eastAsia="仿宋" w:cs="Times New Roman"/>
          <w:kern w:val="1"/>
          <w:sz w:val="32"/>
          <w:szCs w:val="32"/>
        </w:rPr>
        <w:t>年</w:t>
      </w:r>
      <w:r>
        <w:rPr>
          <w:rFonts w:ascii="仿宋" w:hAnsi="仿宋" w:eastAsia="仿宋" w:cs="Times New Roman"/>
          <w:kern w:val="1"/>
          <w:sz w:val="32"/>
          <w:szCs w:val="32"/>
        </w:rPr>
        <w:t>11</w:t>
      </w:r>
      <w:r>
        <w:rPr>
          <w:rFonts w:hint="eastAsia" w:ascii="仿宋" w:hAnsi="仿宋" w:eastAsia="仿宋" w:cs="Times New Roman"/>
          <w:kern w:val="1"/>
          <w:sz w:val="32"/>
          <w:szCs w:val="32"/>
        </w:rPr>
        <w:t>月</w:t>
      </w:r>
      <w:r>
        <w:rPr>
          <w:rFonts w:ascii="仿宋" w:hAnsi="仿宋" w:eastAsia="仿宋" w:cs="Times New Roman"/>
          <w:kern w:val="1"/>
          <w:sz w:val="32"/>
          <w:szCs w:val="32"/>
        </w:rPr>
        <w:t>1</w:t>
      </w:r>
      <w:r>
        <w:rPr>
          <w:rFonts w:hint="eastAsia" w:ascii="仿宋" w:hAnsi="仿宋" w:eastAsia="仿宋" w:cs="Times New Roman"/>
          <w:kern w:val="1"/>
          <w:sz w:val="32"/>
          <w:szCs w:val="32"/>
        </w:rPr>
        <w:t>日予以立案调查</w:t>
      </w:r>
      <w:r>
        <w:rPr>
          <w:rFonts w:hint="eastAsia" w:ascii="仿宋" w:hAnsi="仿宋" w:eastAsia="仿宋" w:cs="仿宋_GB2312"/>
          <w:sz w:val="32"/>
          <w:szCs w:val="32"/>
        </w:rPr>
        <w:t>。</w:t>
      </w:r>
    </w:p>
    <w:p>
      <w:pPr>
        <w:widowControl w:val="0"/>
        <w:kinsoku/>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经查实，当事人证照齐全有效，持有合法的经营资质，正常经营。执法人员现场检查发现该店后厨操作间垃圾桶未配备盖子，不能起到防止有害生物侵入、不良气味或污水溢出等作用。</w:t>
      </w:r>
    </w:p>
    <w:p>
      <w:pPr>
        <w:widowControl w:val="0"/>
        <w:kinsoku/>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另查，当事人于</w:t>
      </w:r>
      <w:r>
        <w:rPr>
          <w:rFonts w:ascii="仿宋" w:hAnsi="仿宋" w:eastAsia="仿宋" w:cs="仿宋_GB2312"/>
          <w:sz w:val="32"/>
          <w:szCs w:val="32"/>
        </w:rPr>
        <w:t>2024</w:t>
      </w:r>
      <w:r>
        <w:rPr>
          <w:rFonts w:hint="eastAsia" w:ascii="仿宋" w:hAnsi="仿宋" w:eastAsia="仿宋" w:cs="仿宋_GB2312"/>
          <w:sz w:val="32"/>
          <w:szCs w:val="32"/>
        </w:rPr>
        <w:t>年</w:t>
      </w:r>
      <w:r>
        <w:rPr>
          <w:rFonts w:ascii="仿宋" w:hAnsi="仿宋" w:eastAsia="仿宋" w:cs="仿宋_GB2312"/>
          <w:sz w:val="32"/>
          <w:szCs w:val="32"/>
        </w:rPr>
        <w:t>10</w:t>
      </w:r>
      <w:r>
        <w:rPr>
          <w:rFonts w:hint="eastAsia" w:ascii="仿宋" w:hAnsi="仿宋" w:eastAsia="仿宋" w:cs="仿宋_GB2312"/>
          <w:sz w:val="32"/>
          <w:szCs w:val="32"/>
        </w:rPr>
        <w:t>月</w:t>
      </w:r>
      <w:r>
        <w:rPr>
          <w:rFonts w:ascii="仿宋" w:hAnsi="仿宋" w:eastAsia="仿宋" w:cs="仿宋_GB2312"/>
          <w:sz w:val="32"/>
          <w:szCs w:val="32"/>
        </w:rPr>
        <w:t>23</w:t>
      </w:r>
      <w:r>
        <w:rPr>
          <w:rFonts w:hint="eastAsia" w:ascii="仿宋" w:hAnsi="仿宋" w:eastAsia="仿宋" w:cs="仿宋_GB2312"/>
          <w:sz w:val="32"/>
          <w:szCs w:val="32"/>
        </w:rPr>
        <w:t>日因未按照餐饮服务食品安全操作规范被我局给予警告处罚（行政处罚决定书文号：晋市监处罚</w:t>
      </w:r>
      <w:r>
        <w:rPr>
          <w:rFonts w:ascii="仿宋" w:hAnsi="仿宋" w:eastAsia="仿宋" w:cs="仿宋_GB2312"/>
          <w:sz w:val="32"/>
          <w:szCs w:val="32"/>
        </w:rPr>
        <w:t>[2024]07-102</w:t>
      </w:r>
      <w:r>
        <w:rPr>
          <w:rFonts w:hint="eastAsia" w:ascii="仿宋" w:hAnsi="仿宋" w:eastAsia="仿宋" w:cs="仿宋_GB2312"/>
          <w:sz w:val="32"/>
          <w:szCs w:val="32"/>
        </w:rPr>
        <w:t>号）。</w:t>
      </w:r>
    </w:p>
    <w:p>
      <w:pPr>
        <w:widowControl w:val="0"/>
        <w:kinsoku/>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上述事实，主要有以下证据证明：福建省政府信访局人民群众信访登记表、现场笔录、现场照片、询问笔录、营业执照复印件、食品经营许可证复印件、身份证复印件、行政处罚决定书（晋市监处罚</w:t>
      </w:r>
      <w:r>
        <w:rPr>
          <w:rFonts w:ascii="仿宋" w:hAnsi="仿宋" w:eastAsia="仿宋" w:cs="仿宋_GB2312"/>
          <w:sz w:val="32"/>
          <w:szCs w:val="32"/>
        </w:rPr>
        <w:t>[2024]07-102</w:t>
      </w:r>
      <w:r>
        <w:rPr>
          <w:rFonts w:hint="eastAsia" w:ascii="仿宋" w:hAnsi="仿宋" w:eastAsia="仿宋" w:cs="仿宋_GB2312"/>
          <w:sz w:val="32"/>
          <w:szCs w:val="32"/>
        </w:rPr>
        <w:t>号）复印件。</w:t>
      </w:r>
    </w:p>
    <w:p>
      <w:pPr>
        <w:widowControl w:val="0"/>
        <w:kinsoku/>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2024年</w:t>
      </w:r>
      <w:r>
        <w:rPr>
          <w:rFonts w:ascii="仿宋" w:hAnsi="仿宋" w:eastAsia="仿宋" w:cs="仿宋"/>
          <w:sz w:val="32"/>
          <w:szCs w:val="32"/>
        </w:rPr>
        <w:t>11</w:t>
      </w:r>
      <w:r>
        <w:rPr>
          <w:rFonts w:hint="eastAsia" w:ascii="仿宋" w:hAnsi="仿宋" w:eastAsia="仿宋" w:cs="仿宋"/>
          <w:sz w:val="32"/>
          <w:szCs w:val="32"/>
        </w:rPr>
        <w:t>月</w:t>
      </w:r>
      <w:r>
        <w:rPr>
          <w:rFonts w:ascii="仿宋" w:hAnsi="仿宋" w:eastAsia="仿宋" w:cs="仿宋"/>
          <w:sz w:val="32"/>
          <w:szCs w:val="32"/>
        </w:rPr>
        <w:t>18</w:t>
      </w:r>
      <w:r>
        <w:rPr>
          <w:rFonts w:hint="eastAsia" w:ascii="仿宋" w:hAnsi="仿宋" w:eastAsia="仿宋" w:cs="仿宋"/>
          <w:sz w:val="32"/>
          <w:szCs w:val="32"/>
        </w:rPr>
        <w:t>日，本局向当事人送达了《行政处罚告知书》(晋市监罚告〔2024〕07-</w:t>
      </w:r>
      <w:r>
        <w:rPr>
          <w:rFonts w:ascii="仿宋" w:hAnsi="仿宋" w:eastAsia="仿宋" w:cs="仿宋"/>
          <w:sz w:val="32"/>
          <w:szCs w:val="32"/>
        </w:rPr>
        <w:t>130</w:t>
      </w:r>
      <w:r>
        <w:rPr>
          <w:rFonts w:hint="eastAsia" w:ascii="仿宋" w:hAnsi="仿宋" w:eastAsia="仿宋" w:cs="仿宋"/>
          <w:sz w:val="32"/>
          <w:szCs w:val="32"/>
        </w:rPr>
        <w:t>号)，当事人在法定期限内未提出陈述和申辩意见。</w:t>
      </w:r>
    </w:p>
    <w:p>
      <w:pPr>
        <w:widowControl w:val="0"/>
        <w:kinsoku/>
        <w:spacing w:line="560" w:lineRule="exact"/>
        <w:ind w:firstLine="640" w:firstLineChars="200"/>
        <w:rPr>
          <w:rFonts w:ascii="仿宋" w:hAnsi="仿宋" w:eastAsia="仿宋" w:cs="仿宋_GB2312"/>
          <w:sz w:val="32"/>
          <w:szCs w:val="32"/>
        </w:rPr>
      </w:pPr>
      <w:r>
        <w:rPr>
          <w:rFonts w:hint="eastAsia" w:ascii="仿宋" w:hAnsi="仿宋" w:eastAsia="仿宋" w:cs="仿宋"/>
          <w:sz w:val="32"/>
          <w:szCs w:val="32"/>
        </w:rPr>
        <w:t>综上所述，本局认为：</w:t>
      </w:r>
      <w:r>
        <w:rPr>
          <w:rFonts w:hint="eastAsia" w:ascii="仿宋" w:hAnsi="仿宋" w:eastAsia="仿宋" w:cs="仿宋_GB2312"/>
          <w:sz w:val="32"/>
          <w:szCs w:val="32"/>
        </w:rPr>
        <w:t>当事人未按照餐饮服务食品安全操作规范的行为违反了《中华人民共和国食品安全法》第三十三条第一款第二项和《餐饮服务食品安全操作规范》</w:t>
      </w:r>
      <w:r>
        <w:rPr>
          <w:rFonts w:ascii="仿宋" w:hAnsi="仿宋" w:eastAsia="仿宋" w:cs="仿宋_GB2312"/>
          <w:sz w:val="32"/>
          <w:szCs w:val="32"/>
        </w:rPr>
        <w:t>11.1.2</w:t>
      </w:r>
      <w:r>
        <w:rPr>
          <w:rFonts w:hint="eastAsia" w:ascii="仿宋" w:hAnsi="仿宋" w:eastAsia="仿宋" w:cs="仿宋_GB2312"/>
          <w:sz w:val="32"/>
          <w:szCs w:val="32"/>
        </w:rPr>
        <w:t>的规定。鉴于当事人违法行为轻微，社会危害性较小，符合《福建省市场监督管理行政处罚裁量权适用规则》第十一条第三项可以从轻处罚情节。参照《福建省市场监督管理系统适用</w:t>
      </w:r>
      <w:r>
        <w:rPr>
          <w:rFonts w:ascii="仿宋" w:hAnsi="仿宋" w:eastAsia="仿宋" w:cs="仿宋_GB2312"/>
          <w:sz w:val="32"/>
          <w:szCs w:val="32"/>
        </w:rPr>
        <w:t>&lt;</w:t>
      </w:r>
      <w:r>
        <w:rPr>
          <w:rFonts w:hint="eastAsia" w:ascii="仿宋" w:hAnsi="仿宋" w:eastAsia="仿宋" w:cs="仿宋_GB2312"/>
          <w:sz w:val="32"/>
          <w:szCs w:val="32"/>
        </w:rPr>
        <w:t>食品安全法</w:t>
      </w:r>
      <w:r>
        <w:rPr>
          <w:rFonts w:ascii="仿宋" w:hAnsi="仿宋" w:eastAsia="仿宋" w:cs="仿宋_GB2312"/>
          <w:sz w:val="32"/>
          <w:szCs w:val="32"/>
        </w:rPr>
        <w:t>&gt;</w:t>
      </w:r>
      <w:r>
        <w:rPr>
          <w:rFonts w:hint="eastAsia" w:ascii="仿宋" w:hAnsi="仿宋" w:eastAsia="仿宋" w:cs="仿宋_GB2312"/>
          <w:sz w:val="32"/>
          <w:szCs w:val="32"/>
        </w:rPr>
        <w:t>行政处罚裁量基准》</w:t>
      </w:r>
      <w:r>
        <w:rPr>
          <w:rFonts w:ascii="仿宋" w:hAnsi="仿宋" w:eastAsia="仿宋" w:cs="仿宋_GB2312"/>
          <w:sz w:val="32"/>
          <w:szCs w:val="32"/>
        </w:rPr>
        <w:t>SP-5</w:t>
      </w:r>
      <w:r>
        <w:rPr>
          <w:rFonts w:hint="eastAsia" w:ascii="仿宋" w:hAnsi="仿宋" w:eastAsia="仿宋" w:cs="仿宋_GB2312"/>
          <w:sz w:val="32"/>
          <w:szCs w:val="32"/>
        </w:rPr>
        <w:t>从轻情节依法予以处罚。依据《中华人民共和国食品安全法》第一百二十六条第一款第十三项的规定，本局责令当事人改正违法行为，并作出处罚如下：</w:t>
      </w:r>
    </w:p>
    <w:p>
      <w:pPr>
        <w:widowControl w:val="0"/>
        <w:kinsoku/>
        <w:spacing w:line="560" w:lineRule="exact"/>
        <w:ind w:firstLine="640" w:firstLineChars="200"/>
        <w:rPr>
          <w:rFonts w:ascii="仿宋" w:hAnsi="仿宋" w:eastAsia="仿宋" w:cs="仿宋_GB2312"/>
          <w:sz w:val="32"/>
          <w:szCs w:val="32"/>
        </w:rPr>
      </w:pPr>
      <w:r>
        <w:rPr>
          <w:rFonts w:ascii="仿宋" w:hAnsi="仿宋" w:eastAsia="仿宋" w:cs="仿宋_GB2312"/>
          <w:sz w:val="32"/>
          <w:szCs w:val="32"/>
        </w:rPr>
        <w:t>1</w:t>
      </w:r>
      <w:r>
        <w:rPr>
          <w:rFonts w:hint="eastAsia" w:ascii="仿宋" w:hAnsi="仿宋" w:eastAsia="仿宋" w:cs="仿宋_GB2312"/>
          <w:sz w:val="32"/>
          <w:szCs w:val="32"/>
        </w:rPr>
        <w:t>、处以罚款</w:t>
      </w:r>
      <w:r>
        <w:rPr>
          <w:rFonts w:ascii="仿宋" w:hAnsi="仿宋" w:eastAsia="仿宋" w:cs="仿宋_GB2312"/>
          <w:sz w:val="32"/>
          <w:szCs w:val="32"/>
        </w:rPr>
        <w:t>5000</w:t>
      </w:r>
      <w:r>
        <w:rPr>
          <w:rFonts w:hint="eastAsia" w:ascii="仿宋" w:hAnsi="仿宋" w:eastAsia="仿宋" w:cs="仿宋_GB2312"/>
          <w:sz w:val="32"/>
          <w:szCs w:val="32"/>
        </w:rPr>
        <w:t>元。</w:t>
      </w:r>
    </w:p>
    <w:p>
      <w:pPr>
        <w:widowControl w:val="0"/>
        <w:kinsoku/>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应当自收到本决定书之日起十五日内，持福建省政府非税收入缴款通知书（缴款码）到银行网点或者通过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pPr>
        <w:widowControl w:val="0"/>
        <w:kinsoku/>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当事人如对本行政处罚决定不服，可在接到本行政处罚决定书之日起六十日内向晋江市人民政府申请复议，也可以六个月内依法向泉州市洛江区人民法院提起行政诉讼。当事人对行政处罚决定不服而申请行政复议或者提起行政诉讼期间，行政处罚不停止执行，法律、法规、规章另有规定的，从其规定。</w:t>
      </w:r>
    </w:p>
    <w:p>
      <w:pPr>
        <w:widowControl w:val="0"/>
        <w:kinsoku/>
        <w:spacing w:line="560" w:lineRule="exact"/>
        <w:ind w:firstLine="640" w:firstLineChars="200"/>
        <w:rPr>
          <w:rFonts w:ascii="仿宋" w:hAnsi="仿宋" w:eastAsia="仿宋" w:cs="仿宋_GB2312"/>
          <w:sz w:val="32"/>
          <w:szCs w:val="32"/>
        </w:rPr>
      </w:pPr>
    </w:p>
    <w:p>
      <w:pPr>
        <w:widowControl w:val="0"/>
        <w:kinsoku/>
        <w:spacing w:line="560" w:lineRule="exact"/>
        <w:ind w:firstLine="640" w:firstLineChars="200"/>
        <w:rPr>
          <w:rFonts w:ascii="仿宋" w:hAnsi="仿宋" w:eastAsia="仿宋" w:cs="仿宋_GB2312"/>
          <w:sz w:val="32"/>
          <w:szCs w:val="32"/>
        </w:rPr>
      </w:pPr>
    </w:p>
    <w:p>
      <w:pPr>
        <w:widowControl w:val="0"/>
        <w:kinsoku/>
        <w:spacing w:line="560" w:lineRule="exact"/>
        <w:ind w:firstLine="640" w:firstLineChars="200"/>
        <w:rPr>
          <w:rFonts w:ascii="仿宋" w:hAnsi="仿宋" w:eastAsia="仿宋" w:cs="仿宋"/>
          <w:sz w:val="32"/>
          <w:szCs w:val="32"/>
          <w:u w:val="single"/>
        </w:rPr>
      </w:pPr>
    </w:p>
    <w:p>
      <w:pPr>
        <w:tabs>
          <w:tab w:val="left" w:pos="5667"/>
        </w:tabs>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晋江市市场监督管理局</w:t>
      </w:r>
      <w:r>
        <w:rPr>
          <w:rFonts w:ascii="仿宋" w:hAnsi="仿宋" w:eastAsia="仿宋" w:cs="仿宋"/>
          <w:sz w:val="32"/>
          <w:szCs w:val="32"/>
        </w:rPr>
        <w:t xml:space="preserve">   </w:t>
      </w:r>
    </w:p>
    <w:p>
      <w:pPr>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2024年</w:t>
      </w:r>
      <w:r>
        <w:rPr>
          <w:rFonts w:ascii="仿宋" w:hAnsi="仿宋" w:eastAsia="仿宋" w:cs="仿宋"/>
          <w:sz w:val="32"/>
          <w:szCs w:val="32"/>
        </w:rPr>
        <w:t>11</w:t>
      </w:r>
      <w:r>
        <w:rPr>
          <w:rFonts w:hint="eastAsia" w:ascii="仿宋" w:hAnsi="仿宋" w:eastAsia="仿宋" w:cs="仿宋"/>
          <w:sz w:val="32"/>
          <w:szCs w:val="32"/>
        </w:rPr>
        <w:t>月</w:t>
      </w:r>
      <w:r>
        <w:rPr>
          <w:rFonts w:ascii="仿宋" w:hAnsi="仿宋" w:eastAsia="仿宋" w:cs="仿宋"/>
          <w:sz w:val="32"/>
          <w:szCs w:val="32"/>
        </w:rPr>
        <w:t>27</w:t>
      </w:r>
      <w:r>
        <w:rPr>
          <w:rFonts w:hint="eastAsia" w:ascii="仿宋" w:hAnsi="仿宋" w:eastAsia="仿宋" w:cs="仿宋"/>
          <w:sz w:val="32"/>
          <w:szCs w:val="32"/>
        </w:rPr>
        <w:t>日</w:t>
      </w:r>
      <w:r>
        <w:rPr>
          <w:rFonts w:ascii="仿宋" w:hAnsi="仿宋" w:eastAsia="仿宋" w:cs="仿宋"/>
          <w:sz w:val="32"/>
          <w:szCs w:val="32"/>
        </w:rPr>
        <w:t xml:space="preserve"> </w:t>
      </w:r>
      <w:r>
        <w:rPr>
          <w:rFonts w:ascii="仿宋" w:hAnsi="仿宋" w:eastAsia="仿宋" w:cs="仿宋"/>
          <w:sz w:val="32"/>
        </w:rPr>
        <w:t xml:space="preserve">      </w:t>
      </w:r>
    </w:p>
    <w:p>
      <w:pPr>
        <w:spacing w:before="105" w:line="183" w:lineRule="auto"/>
        <w:ind w:firstLine="403"/>
        <w:jc w:val="center"/>
        <w:rPr>
          <w:rFonts w:ascii="仿宋" w:hAnsi="仿宋" w:eastAsia="仿宋" w:cs="仿宋"/>
          <w:b/>
          <w:bCs/>
          <w:sz w:val="28"/>
          <w:szCs w:val="28"/>
        </w:rPr>
      </w:pPr>
    </w:p>
    <w:p>
      <w:pPr>
        <w:spacing w:before="105" w:line="183" w:lineRule="auto"/>
        <w:ind w:firstLine="403"/>
        <w:jc w:val="center"/>
        <w:rPr>
          <w:rFonts w:ascii="仿宋" w:hAnsi="仿宋" w:eastAsia="仿宋" w:cs="仿宋"/>
          <w:b/>
          <w:bCs/>
          <w:sz w:val="28"/>
          <w:szCs w:val="28"/>
        </w:rPr>
      </w:pPr>
    </w:p>
    <w:p>
      <w:pPr>
        <w:spacing w:before="105" w:line="183" w:lineRule="auto"/>
        <w:ind w:firstLine="403"/>
        <w:jc w:val="center"/>
        <w:rPr>
          <w:rFonts w:ascii="仿宋" w:hAnsi="仿宋" w:eastAsia="仿宋" w:cs="仿宋"/>
          <w:b/>
          <w:bCs/>
          <w:sz w:val="28"/>
          <w:szCs w:val="28"/>
        </w:rPr>
      </w:pPr>
    </w:p>
    <w:p>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pPr>
        <w:spacing w:line="261" w:lineRule="auto"/>
        <w:rPr>
          <w:rFonts w:ascii="Microsoft JhengHei" w:eastAsiaTheme="minorEastAsia"/>
        </w:rPr>
      </w:pPr>
    </w:p>
    <w:p>
      <w:pPr>
        <w:spacing w:line="26" w:lineRule="exact"/>
        <w:textAlignment w:val="center"/>
      </w:pPr>
      <w:r>
        <w:drawing>
          <wp:inline distT="0" distB="0" distL="0" distR="0">
            <wp:extent cx="5550535" cy="15875"/>
            <wp:effectExtent l="0" t="0" r="12065" b="6985"/>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pPr>
        <w:spacing w:before="106" w:line="183" w:lineRule="auto"/>
        <w:ind w:firstLine="231"/>
        <w:rPr>
          <w:rFonts w:eastAsiaTheme="minorEastAsia"/>
        </w:rPr>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91A"/>
    <w:rsid w:val="001F004A"/>
    <w:rsid w:val="00202A2A"/>
    <w:rsid w:val="00296E1B"/>
    <w:rsid w:val="0039330B"/>
    <w:rsid w:val="003F4037"/>
    <w:rsid w:val="005A391A"/>
    <w:rsid w:val="005A4074"/>
    <w:rsid w:val="00623E6D"/>
    <w:rsid w:val="006470B5"/>
    <w:rsid w:val="00696CCB"/>
    <w:rsid w:val="00831F34"/>
    <w:rsid w:val="0087371B"/>
    <w:rsid w:val="008C5112"/>
    <w:rsid w:val="008D5826"/>
    <w:rsid w:val="00941EB6"/>
    <w:rsid w:val="00970AFF"/>
    <w:rsid w:val="00AA7B33"/>
    <w:rsid w:val="00AD5901"/>
    <w:rsid w:val="00AE7F13"/>
    <w:rsid w:val="00B5108B"/>
    <w:rsid w:val="00D349DA"/>
    <w:rsid w:val="00E93293"/>
    <w:rsid w:val="00FF6FFF"/>
    <w:rsid w:val="5F8F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3"/>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0"/>
    <w:unhideWhenUsed/>
    <w:uiPriority w:val="99"/>
    <w:pPr>
      <w:widowControl w:val="0"/>
      <w:tabs>
        <w:tab w:val="center" w:pos="4153"/>
        <w:tab w:val="right" w:pos="8306"/>
      </w:tabs>
      <w:kinsoku/>
      <w:autoSpaceDE/>
      <w:autoSpaceDN/>
      <w:adjustRightInd/>
      <w:textAlignment w:val="auto"/>
    </w:pPr>
    <w:rPr>
      <w:rFonts w:asciiTheme="minorHAnsi" w:hAnsiTheme="minorHAnsi" w:eastAsiaTheme="minorEastAsia" w:cstheme="minorBidi"/>
      <w:snapToGrid/>
      <w:color w:val="auto"/>
      <w:kern w:val="2"/>
      <w:sz w:val="18"/>
      <w:szCs w:val="18"/>
    </w:rPr>
  </w:style>
  <w:style w:type="paragraph" w:styleId="5">
    <w:name w:val="header"/>
    <w:basedOn w:val="1"/>
    <w:link w:val="9"/>
    <w:unhideWhenUsed/>
    <w:uiPriority w:val="99"/>
    <w:pPr>
      <w:widowControl w:val="0"/>
      <w:pBdr>
        <w:bottom w:val="single" w:color="auto" w:sz="6" w:space="1"/>
      </w:pBdr>
      <w:tabs>
        <w:tab w:val="center" w:pos="4153"/>
        <w:tab w:val="right" w:pos="8306"/>
      </w:tabs>
      <w:kinsoku/>
      <w:autoSpaceDE/>
      <w:autoSpaceDN/>
      <w:adjustRightInd/>
      <w:jc w:val="center"/>
      <w:textAlignment w:val="auto"/>
    </w:pPr>
    <w:rPr>
      <w:rFonts w:asciiTheme="minorHAnsi" w:hAnsiTheme="minorHAnsi" w:eastAsiaTheme="minorEastAsia" w:cstheme="minorBidi"/>
      <w:snapToGrid/>
      <w:color w:val="auto"/>
      <w:kern w:val="2"/>
      <w:sz w:val="18"/>
      <w:szCs w:val="18"/>
    </w:rPr>
  </w:style>
  <w:style w:type="paragraph" w:styleId="6">
    <w:name w:val="Title"/>
    <w:basedOn w:val="1"/>
    <w:next w:val="1"/>
    <w:link w:val="11"/>
    <w:qFormat/>
    <w:uiPriority w:val="0"/>
    <w:pPr>
      <w:spacing w:line="199" w:lineRule="auto"/>
      <w:jc w:val="center"/>
      <w:outlineLvl w:val="0"/>
    </w:pPr>
    <w:rPr>
      <w:rFonts w:ascii="Microsoft JhengHei" w:hAnsi="Microsoft JhengHei" w:eastAsia="Microsoft JhengHei" w:cs="Microsoft JhengHei"/>
      <w:spacing w:val="-2"/>
      <w:sz w:val="44"/>
      <w:szCs w:val="44"/>
    </w:rPr>
  </w:style>
  <w:style w:type="character" w:customStyle="1" w:styleId="9">
    <w:name w:val="页眉 字符"/>
    <w:basedOn w:val="8"/>
    <w:link w:val="5"/>
    <w:uiPriority w:val="99"/>
    <w:rPr>
      <w:sz w:val="18"/>
      <w:szCs w:val="18"/>
    </w:rPr>
  </w:style>
  <w:style w:type="character" w:customStyle="1" w:styleId="10">
    <w:name w:val="页脚 字符"/>
    <w:basedOn w:val="8"/>
    <w:link w:val="4"/>
    <w:uiPriority w:val="99"/>
    <w:rPr>
      <w:sz w:val="18"/>
      <w:szCs w:val="18"/>
    </w:rPr>
  </w:style>
  <w:style w:type="character" w:customStyle="1" w:styleId="11">
    <w:name w:val="标题 字符"/>
    <w:basedOn w:val="8"/>
    <w:link w:val="6"/>
    <w:uiPriority w:val="0"/>
    <w:rPr>
      <w:rFonts w:ascii="Microsoft JhengHei" w:hAnsi="Microsoft JhengHei" w:eastAsia="Microsoft JhengHei" w:cs="Microsoft JhengHei"/>
      <w:snapToGrid w:val="0"/>
      <w:color w:val="000000"/>
      <w:spacing w:val="-2"/>
      <w:kern w:val="0"/>
      <w:sz w:val="44"/>
      <w:szCs w:val="44"/>
    </w:rPr>
  </w:style>
  <w:style w:type="character" w:customStyle="1" w:styleId="12">
    <w:name w:val="批注框文本 字符"/>
    <w:basedOn w:val="8"/>
    <w:link w:val="3"/>
    <w:semiHidden/>
    <w:qFormat/>
    <w:uiPriority w:val="99"/>
    <w:rPr>
      <w:rFonts w:ascii="Arial" w:hAnsi="Arial" w:eastAsia="Arial" w:cs="Arial"/>
      <w:snapToGrid w:val="0"/>
      <w:color w:val="000000"/>
      <w:kern w:val="0"/>
      <w:sz w:val="18"/>
      <w:szCs w:val="18"/>
    </w:rPr>
  </w:style>
  <w:style w:type="character" w:customStyle="1" w:styleId="13">
    <w:name w:val="日期 字符"/>
    <w:basedOn w:val="8"/>
    <w:link w:val="2"/>
    <w:semiHidden/>
    <w:uiPriority w:val="99"/>
    <w:rPr>
      <w:rFonts w:ascii="Arial" w:hAnsi="Arial" w:eastAsia="Arial" w:cs="Arial"/>
      <w:snapToGrid w:val="0"/>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250</Words>
  <Characters>1430</Characters>
  <Lines>11</Lines>
  <Paragraphs>3</Paragraphs>
  <TotalTime>129</TotalTime>
  <ScaleCrop>false</ScaleCrop>
  <LinksUpToDate>false</LinksUpToDate>
  <CharactersWithSpaces>1677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2024-05-09T06:45:00Z</dcterms:created>
  <dc:creator>王雅芬</dc:creator>
  <cp:lastModifiedBy>施婉弘</cp:lastModifiedBy>
  <cp:lastPrinted>2024-11-28T02:24:00Z</cp:lastPrinted>
  <dcterms:modified xsi:type="dcterms:W3CDTF">2024-12-03T03:50:41Z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