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center"/>
        <w:rPr>
          <w:rFonts w:hint="eastAsia" w:ascii="宋体" w:hAnsi="宋体" w:eastAsia="宋体" w:cs="宋体"/>
          <w:b/>
          <w:bCs/>
          <w:color w:val="000000"/>
          <w:sz w:val="32"/>
          <w:szCs w:val="32"/>
        </w:rPr>
      </w:pPr>
      <w:bookmarkStart w:id="0" w:name="_GoBack"/>
      <w:bookmarkEnd w:id="0"/>
      <w:r>
        <w:rPr>
          <w:rFonts w:hint="eastAsia" w:ascii="宋体" w:hAnsi="宋体" w:eastAsia="宋体" w:cs="宋体"/>
          <w:b/>
          <w:bCs/>
          <w:color w:val="000000"/>
          <w:sz w:val="32"/>
          <w:szCs w:val="32"/>
          <w:lang w:val="en-US" w:eastAsia="zh-CN"/>
        </w:rPr>
        <w:t>2024年</w:t>
      </w:r>
      <w:r>
        <w:rPr>
          <w:rFonts w:hint="eastAsia" w:ascii="宋体" w:hAnsi="宋体" w:eastAsia="宋体" w:cs="宋体"/>
          <w:b/>
          <w:bCs/>
          <w:color w:val="000000"/>
          <w:sz w:val="32"/>
          <w:szCs w:val="32"/>
          <w:lang w:val="en-US" w:eastAsia="zh-CN"/>
        </w:rPr>
        <w:t>晋</w:t>
      </w:r>
      <w:r>
        <w:rPr>
          <w:rFonts w:hint="eastAsia" w:ascii="宋体" w:hAnsi="宋体" w:eastAsia="宋体" w:cs="宋体"/>
          <w:b/>
          <w:bCs/>
          <w:color w:val="000000"/>
          <w:sz w:val="32"/>
          <w:szCs w:val="32"/>
          <w:lang w:val="en-US" w:eastAsia="zh-CN"/>
        </w:rPr>
        <w:t>江市电子防盗锁</w:t>
      </w:r>
      <w:r>
        <w:rPr>
          <w:rFonts w:hint="eastAsia" w:ascii="宋体" w:hAnsi="宋体" w:eastAsia="宋体" w:cs="宋体"/>
          <w:b/>
          <w:bCs/>
          <w:color w:val="000000"/>
          <w:sz w:val="32"/>
          <w:szCs w:val="32"/>
        </w:rPr>
        <w:t>产品质量监督抽查实</w:t>
      </w:r>
      <w:r>
        <w:rPr>
          <w:rFonts w:hint="eastAsia" w:ascii="宋体" w:hAnsi="宋体" w:eastAsia="宋体" w:cs="宋体"/>
          <w:b/>
          <w:bCs/>
          <w:color w:val="000000"/>
          <w:sz w:val="32"/>
          <w:szCs w:val="32"/>
        </w:rPr>
        <w:t>施细则</w:t>
      </w:r>
    </w:p>
    <w:p>
      <w:pPr>
        <w:spacing w:line="440" w:lineRule="exact"/>
        <w:jc w:val="center"/>
        <w:rPr>
          <w:rFonts w:hint="eastAsia" w:eastAsia="方正小标宋简体" w:cs="方正仿宋简体"/>
          <w:color w:val="000000"/>
          <w:sz w:val="32"/>
          <w:szCs w:val="32"/>
        </w:rPr>
      </w:pPr>
    </w:p>
    <w:p>
      <w:pPr>
        <w:snapToGrid w:val="0"/>
        <w:spacing w:line="440" w:lineRule="exact"/>
        <w:rPr>
          <w:rFonts w:eastAsia="黑体"/>
          <w:color w:val="000000"/>
          <w:szCs w:val="21"/>
        </w:rPr>
      </w:pPr>
      <w:r>
        <w:rPr>
          <w:rFonts w:eastAsia="黑体"/>
          <w:color w:val="000000"/>
          <w:szCs w:val="21"/>
        </w:rPr>
        <w:t>1 抽样方法</w:t>
      </w:r>
    </w:p>
    <w:p>
      <w:pPr>
        <w:snapToGrid w:val="0"/>
        <w:spacing w:line="440" w:lineRule="exact"/>
        <w:ind w:firstLine="420" w:firstLineChars="200"/>
        <w:rPr>
          <w:color w:val="000000"/>
          <w:szCs w:val="21"/>
        </w:rPr>
      </w:pPr>
      <w:r>
        <w:rPr>
          <w:color w:val="000000"/>
          <w:szCs w:val="21"/>
        </w:rPr>
        <w:t>以随机抽样的方式在被抽样生产者、销售者的待销产品中抽取。</w:t>
      </w:r>
    </w:p>
    <w:p>
      <w:pPr>
        <w:snapToGrid w:val="0"/>
        <w:spacing w:line="440" w:lineRule="exact"/>
        <w:ind w:firstLine="420" w:firstLineChars="200"/>
        <w:rPr>
          <w:color w:val="000000"/>
          <w:szCs w:val="21"/>
        </w:rPr>
      </w:pPr>
      <w:r>
        <w:rPr>
          <w:color w:val="000000"/>
          <w:szCs w:val="21"/>
        </w:rPr>
        <w:t>随机数一般可使用随机数表等方法产生。</w:t>
      </w:r>
    </w:p>
    <w:p>
      <w:pPr>
        <w:snapToGrid w:val="0"/>
        <w:spacing w:line="440" w:lineRule="exact"/>
        <w:ind w:firstLine="420" w:firstLineChars="200"/>
        <w:rPr>
          <w:rFonts w:hint="eastAsia"/>
          <w:color w:val="000000"/>
          <w:szCs w:val="21"/>
        </w:rPr>
      </w:pPr>
      <w:r>
        <w:rPr>
          <w:szCs w:val="21"/>
        </w:rPr>
        <w:t>每批次产品抽取样</w:t>
      </w:r>
      <w:r>
        <w:rPr>
          <w:rFonts w:hint="eastAsia"/>
          <w:szCs w:val="21"/>
          <w:lang w:eastAsia="zh-CN"/>
        </w:rPr>
        <w:t>品</w:t>
      </w:r>
      <w:r>
        <w:rPr>
          <w:rFonts w:hint="eastAsia"/>
          <w:szCs w:val="21"/>
          <w:lang w:val="en-US" w:eastAsia="zh-CN"/>
        </w:rPr>
        <w:t>2套</w:t>
      </w:r>
      <w:r>
        <w:rPr>
          <w:szCs w:val="21"/>
        </w:rPr>
        <w:t>，其中</w:t>
      </w:r>
      <w:r>
        <w:rPr>
          <w:rFonts w:hint="eastAsia"/>
          <w:szCs w:val="21"/>
          <w:lang w:val="en-US" w:eastAsia="zh-CN"/>
        </w:rPr>
        <w:t>1套</w:t>
      </w:r>
      <w:r>
        <w:rPr>
          <w:szCs w:val="21"/>
        </w:rPr>
        <w:t>作为检验样品，</w:t>
      </w:r>
      <w:r>
        <w:rPr>
          <w:rFonts w:hint="eastAsia"/>
          <w:szCs w:val="21"/>
          <w:lang w:val="en-US" w:eastAsia="zh-CN"/>
        </w:rPr>
        <w:t>1套</w:t>
      </w:r>
      <w:r>
        <w:rPr>
          <w:szCs w:val="21"/>
        </w:rPr>
        <w:t>作为备用样品。</w:t>
      </w:r>
    </w:p>
    <w:p>
      <w:pPr>
        <w:spacing w:line="440" w:lineRule="exact"/>
        <w:rPr>
          <w:rFonts w:eastAsia="黑体"/>
          <w:color w:val="000000"/>
          <w:szCs w:val="21"/>
        </w:rPr>
      </w:pPr>
    </w:p>
    <w:p>
      <w:pPr>
        <w:spacing w:line="440" w:lineRule="exact"/>
        <w:rPr>
          <w:rFonts w:eastAsia="黑体"/>
          <w:color w:val="000000"/>
          <w:szCs w:val="21"/>
        </w:rPr>
      </w:pPr>
      <w:r>
        <w:rPr>
          <w:rFonts w:eastAsia="黑体"/>
          <w:color w:val="000000"/>
          <w:szCs w:val="21"/>
        </w:rPr>
        <w:t>2 检验依据</w:t>
      </w:r>
    </w:p>
    <w:p>
      <w:pPr>
        <w:snapToGrid w:val="0"/>
        <w:spacing w:line="440" w:lineRule="exact"/>
        <w:jc w:val="center"/>
        <w:rPr>
          <w:rFonts w:hint="default" w:ascii="Times New Roman" w:hAnsi="Times New Roman" w:eastAsia="宋体" w:cs="Times New Roman"/>
          <w:color w:val="000000"/>
          <w:szCs w:val="21"/>
          <w:lang w:val="en-US" w:eastAsia="zh-CN"/>
        </w:rPr>
      </w:pPr>
    </w:p>
    <w:tbl>
      <w:tblPr>
        <w:tblStyle w:val="6"/>
        <w:tblW w:w="49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3796"/>
        <w:gridCol w:w="3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blHeader/>
          <w:jc w:val="center"/>
        </w:trPr>
        <w:tc>
          <w:tcPr>
            <w:tcW w:w="760" w:type="pct"/>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序号</w:t>
            </w:r>
          </w:p>
        </w:tc>
        <w:tc>
          <w:tcPr>
            <w:tcW w:w="2077" w:type="pct"/>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检验项目</w:t>
            </w:r>
          </w:p>
        </w:tc>
        <w:tc>
          <w:tcPr>
            <w:tcW w:w="2161" w:type="pct"/>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60" w:type="pct"/>
            <w:noWrap w:val="0"/>
            <w:vAlign w:val="center"/>
          </w:tcPr>
          <w:p>
            <w:pPr>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1</w:t>
            </w:r>
          </w:p>
        </w:tc>
        <w:tc>
          <w:tcPr>
            <w:tcW w:w="3796" w:type="dxa"/>
            <w:noWrap w:val="0"/>
            <w:vAlign w:val="center"/>
          </w:tcPr>
          <w:p>
            <w:pPr>
              <w:snapToGrid w:val="0"/>
              <w:spacing w:line="440" w:lineRule="exact"/>
              <w:jc w:val="center"/>
              <w:rPr>
                <w:rFonts w:hint="default" w:ascii="Times New Roman" w:hAnsi="Times New Roman" w:eastAsia="宋体" w:cs="Times New Roman"/>
                <w:color w:val="000000"/>
                <w:szCs w:val="21"/>
                <w:lang w:val="en-US" w:eastAsia="zh-CN"/>
              </w:rPr>
            </w:pPr>
            <w:r>
              <w:rPr>
                <w:rFonts w:hint="eastAsia" w:ascii="宋体" w:hAnsi="宋体" w:eastAsia="宋体" w:cs="Times New Roman"/>
                <w:color w:val="000000"/>
                <w:szCs w:val="21"/>
                <w:lang w:val="en-US" w:eastAsia="zh-CN"/>
              </w:rPr>
              <w:t>锁舌侧向静载荷</w:t>
            </w:r>
          </w:p>
        </w:tc>
        <w:tc>
          <w:tcPr>
            <w:tcW w:w="3949" w:type="dxa"/>
            <w:noWrap w:val="0"/>
            <w:vAlign w:val="center"/>
          </w:tcPr>
          <w:p>
            <w:pPr>
              <w:snapToGrid w:val="0"/>
              <w:spacing w:line="440" w:lineRule="exact"/>
              <w:jc w:val="center"/>
              <w:rPr>
                <w:rFonts w:hint="default" w:ascii="Times New Roman" w:hAnsi="Times New Roman" w:eastAsia="宋体" w:cs="Times New Roman"/>
                <w:color w:val="000000"/>
                <w:szCs w:val="21"/>
              </w:rPr>
            </w:pPr>
            <w:r>
              <w:rPr>
                <w:rFonts w:hint="eastAsia" w:ascii="宋体" w:hAnsi="宋体" w:eastAsia="宋体" w:cs="Times New Roman"/>
                <w:color w:val="000000"/>
                <w:szCs w:val="21"/>
                <w:lang w:val="en-US" w:eastAsia="zh-CN"/>
              </w:rPr>
              <w:t>GB 21556-2008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60" w:type="pct"/>
            <w:noWrap w:val="0"/>
            <w:vAlign w:val="center"/>
          </w:tcPr>
          <w:p>
            <w:pPr>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2</w:t>
            </w:r>
          </w:p>
        </w:tc>
        <w:tc>
          <w:tcPr>
            <w:tcW w:w="3796" w:type="dxa"/>
            <w:noWrap w:val="0"/>
            <w:vAlign w:val="center"/>
          </w:tcPr>
          <w:p>
            <w:pPr>
              <w:snapToGrid w:val="0"/>
              <w:spacing w:line="440" w:lineRule="exact"/>
              <w:jc w:val="center"/>
              <w:rPr>
                <w:rFonts w:hint="default" w:ascii="Times New Roman" w:hAnsi="Times New Roman" w:eastAsia="宋体" w:cs="Times New Roman"/>
                <w:color w:val="000000"/>
                <w:szCs w:val="21"/>
                <w:lang w:val="en-US" w:eastAsia="zh-CN"/>
              </w:rPr>
            </w:pPr>
            <w:r>
              <w:rPr>
                <w:rFonts w:hint="eastAsia" w:ascii="宋体" w:hAnsi="宋体" w:eastAsia="宋体" w:cs="Times New Roman"/>
                <w:color w:val="000000"/>
                <w:szCs w:val="21"/>
                <w:lang w:val="en-US" w:eastAsia="zh-CN"/>
              </w:rPr>
              <w:t>抗电强度</w:t>
            </w:r>
          </w:p>
        </w:tc>
        <w:tc>
          <w:tcPr>
            <w:tcW w:w="3949" w:type="dxa"/>
            <w:noWrap w:val="0"/>
            <w:vAlign w:val="center"/>
          </w:tcPr>
          <w:p>
            <w:pPr>
              <w:snapToGrid w:val="0"/>
              <w:spacing w:line="440" w:lineRule="exact"/>
              <w:jc w:val="center"/>
              <w:rPr>
                <w:rFonts w:hint="default" w:ascii="Times New Roman" w:hAnsi="Times New Roman" w:eastAsia="宋体" w:cs="Times New Roman"/>
                <w:color w:val="000000"/>
                <w:szCs w:val="21"/>
              </w:rPr>
            </w:pPr>
            <w:r>
              <w:rPr>
                <w:rFonts w:hint="eastAsia" w:ascii="宋体" w:hAnsi="宋体" w:eastAsia="宋体" w:cs="Times New Roman"/>
                <w:color w:val="000000"/>
                <w:szCs w:val="21"/>
                <w:lang w:val="en-US" w:eastAsia="zh-CN"/>
              </w:rPr>
              <w:t>GB 21556-2008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60" w:type="pct"/>
            <w:noWrap w:val="0"/>
            <w:vAlign w:val="center"/>
          </w:tcPr>
          <w:p>
            <w:pPr>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3</w:t>
            </w:r>
          </w:p>
        </w:tc>
        <w:tc>
          <w:tcPr>
            <w:tcW w:w="3796" w:type="dxa"/>
            <w:noWrap w:val="0"/>
            <w:vAlign w:val="center"/>
          </w:tcPr>
          <w:p>
            <w:pPr>
              <w:snapToGrid w:val="0"/>
              <w:spacing w:line="440" w:lineRule="exact"/>
              <w:jc w:val="center"/>
              <w:rPr>
                <w:rFonts w:hint="default" w:ascii="Times New Roman" w:hAnsi="Times New Roman" w:eastAsia="宋体" w:cs="Times New Roman"/>
                <w:color w:val="000000"/>
                <w:szCs w:val="21"/>
                <w:lang w:val="en-US" w:eastAsia="zh-CN"/>
              </w:rPr>
            </w:pPr>
            <w:r>
              <w:rPr>
                <w:rFonts w:hint="eastAsia" w:ascii="宋体" w:hAnsi="宋体" w:eastAsia="宋体" w:cs="Times New Roman"/>
                <w:color w:val="000000"/>
                <w:szCs w:val="21"/>
                <w:lang w:val="en-US" w:eastAsia="zh-CN"/>
              </w:rPr>
              <w:t>环境适应性</w:t>
            </w:r>
          </w:p>
        </w:tc>
        <w:tc>
          <w:tcPr>
            <w:tcW w:w="3949" w:type="dxa"/>
            <w:noWrap w:val="0"/>
            <w:vAlign w:val="center"/>
          </w:tcPr>
          <w:p>
            <w:pPr>
              <w:snapToGrid w:val="0"/>
              <w:spacing w:line="440" w:lineRule="exact"/>
              <w:jc w:val="center"/>
              <w:rPr>
                <w:rFonts w:hint="default" w:ascii="Times New Roman" w:hAnsi="Times New Roman" w:eastAsia="宋体" w:cs="Times New Roman"/>
                <w:color w:val="000000"/>
                <w:szCs w:val="21"/>
              </w:rPr>
            </w:pPr>
            <w:r>
              <w:rPr>
                <w:rFonts w:hint="eastAsia" w:ascii="宋体" w:hAnsi="宋体" w:eastAsia="宋体" w:cs="Times New Roman"/>
                <w:color w:val="000000"/>
                <w:szCs w:val="21"/>
                <w:lang w:val="en-US" w:eastAsia="zh-CN"/>
              </w:rPr>
              <w:t>GB 21556-2008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60" w:type="pct"/>
            <w:noWrap w:val="0"/>
            <w:vAlign w:val="center"/>
          </w:tcPr>
          <w:p>
            <w:pPr>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4</w:t>
            </w:r>
          </w:p>
        </w:tc>
        <w:tc>
          <w:tcPr>
            <w:tcW w:w="3796" w:type="dxa"/>
            <w:noWrap w:val="0"/>
            <w:vAlign w:val="center"/>
          </w:tcPr>
          <w:p>
            <w:pPr>
              <w:snapToGrid w:val="0"/>
              <w:spacing w:line="440" w:lineRule="exact"/>
              <w:jc w:val="center"/>
              <w:rPr>
                <w:rFonts w:hint="default" w:ascii="Times New Roman" w:hAnsi="Times New Roman" w:eastAsia="宋体" w:cs="Times New Roman"/>
                <w:color w:val="000000"/>
                <w:szCs w:val="21"/>
                <w:lang w:val="en-US" w:eastAsia="zh-CN"/>
              </w:rPr>
            </w:pPr>
            <w:r>
              <w:rPr>
                <w:rFonts w:hint="eastAsia" w:ascii="宋体" w:hAnsi="宋体" w:eastAsia="宋体" w:cs="Times New Roman"/>
                <w:color w:val="000000"/>
                <w:szCs w:val="21"/>
                <w:lang w:val="en-US" w:eastAsia="zh-CN"/>
              </w:rPr>
              <w:t>电源性能</w:t>
            </w:r>
          </w:p>
        </w:tc>
        <w:tc>
          <w:tcPr>
            <w:tcW w:w="3949" w:type="dxa"/>
            <w:noWrap w:val="0"/>
            <w:vAlign w:val="center"/>
          </w:tcPr>
          <w:p>
            <w:pPr>
              <w:snapToGrid w:val="0"/>
              <w:spacing w:line="440" w:lineRule="exact"/>
              <w:jc w:val="center"/>
              <w:rPr>
                <w:rFonts w:hint="default" w:ascii="Times New Roman" w:hAnsi="Times New Roman" w:eastAsia="宋体" w:cs="Times New Roman"/>
                <w:color w:val="000000"/>
                <w:szCs w:val="21"/>
              </w:rPr>
            </w:pPr>
            <w:r>
              <w:rPr>
                <w:rFonts w:hint="eastAsia" w:ascii="宋体" w:hAnsi="宋体" w:eastAsia="宋体" w:cs="Times New Roman"/>
                <w:color w:val="000000"/>
                <w:szCs w:val="21"/>
                <w:lang w:val="en-US" w:eastAsia="zh-CN"/>
              </w:rPr>
              <w:t>GB 21556-2008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60" w:type="pct"/>
            <w:noWrap w:val="0"/>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5</w:t>
            </w:r>
          </w:p>
        </w:tc>
        <w:tc>
          <w:tcPr>
            <w:tcW w:w="3796" w:type="dxa"/>
            <w:noWrap w:val="0"/>
            <w:vAlign w:val="center"/>
          </w:tcPr>
          <w:p>
            <w:pPr>
              <w:snapToGrid w:val="0"/>
              <w:spacing w:line="440" w:lineRule="exact"/>
              <w:jc w:val="center"/>
              <w:rPr>
                <w:rFonts w:hint="eastAsia" w:ascii="Times New Roman" w:hAnsi="Times New Roman" w:eastAsia="宋体" w:cs="Times New Roman"/>
                <w:color w:val="000000"/>
                <w:szCs w:val="21"/>
                <w:lang w:val="en-US" w:eastAsia="zh-CN"/>
              </w:rPr>
            </w:pPr>
            <w:r>
              <w:rPr>
                <w:rFonts w:hint="eastAsia" w:ascii="宋体" w:hAnsi="宋体" w:eastAsia="宋体" w:cs="Times New Roman"/>
                <w:color w:val="000000"/>
                <w:szCs w:val="21"/>
                <w:lang w:val="en-US" w:eastAsia="zh-CN"/>
              </w:rPr>
              <w:t>锁舌伸出长度</w:t>
            </w:r>
          </w:p>
        </w:tc>
        <w:tc>
          <w:tcPr>
            <w:tcW w:w="3949" w:type="dxa"/>
            <w:noWrap w:val="0"/>
            <w:vAlign w:val="center"/>
          </w:tcPr>
          <w:p>
            <w:pPr>
              <w:snapToGrid w:val="0"/>
              <w:spacing w:line="440" w:lineRule="exact"/>
              <w:jc w:val="center"/>
              <w:rPr>
                <w:rFonts w:hint="eastAsia" w:ascii="Times New Roman" w:hAnsi="Times New Roman" w:eastAsia="宋体" w:cs="Times New Roman"/>
                <w:color w:val="000000"/>
                <w:szCs w:val="21"/>
                <w:lang w:val="en-US" w:eastAsia="zh-CN"/>
              </w:rPr>
            </w:pPr>
            <w:r>
              <w:rPr>
                <w:rFonts w:hint="eastAsia" w:ascii="宋体" w:hAnsi="宋体" w:eastAsia="宋体" w:cs="Times New Roman"/>
                <w:color w:val="000000"/>
                <w:szCs w:val="21"/>
                <w:lang w:val="en-US" w:eastAsia="zh-CN"/>
              </w:rPr>
              <w:t>GB 21556-2008</w:t>
            </w:r>
          </w:p>
        </w:tc>
      </w:tr>
    </w:tbl>
    <w:p>
      <w:pPr>
        <w:snapToGrid w:val="0"/>
        <w:spacing w:line="440" w:lineRule="exact"/>
        <w:ind w:firstLine="359" w:firstLineChars="171"/>
        <w:rPr>
          <w:color w:val="000000"/>
          <w:szCs w:val="21"/>
        </w:rPr>
      </w:pPr>
      <w:r>
        <w:rPr>
          <w:color w:val="000000"/>
          <w:szCs w:val="21"/>
        </w:rPr>
        <w:t>执行企业标准、团体标准、地方标准的产品，检验项目参照上述内容执行。</w:t>
      </w:r>
    </w:p>
    <w:p>
      <w:pPr>
        <w:snapToGrid w:val="0"/>
        <w:spacing w:line="440" w:lineRule="exact"/>
        <w:ind w:firstLine="359" w:firstLineChars="171"/>
        <w:rPr>
          <w:color w:val="000000"/>
          <w:szCs w:val="21"/>
        </w:rPr>
      </w:pPr>
      <w:r>
        <w:rPr>
          <w:color w:val="000000"/>
          <w:szCs w:val="21"/>
        </w:rPr>
        <w:t>凡是注日期的文件，其随后所有的修改单（不包括勘误的内容）或修订版不适用于本细则。凡是不注日期的文件，其最新版本适用于本细则。</w:t>
      </w:r>
    </w:p>
    <w:p>
      <w:pPr>
        <w:snapToGrid w:val="0"/>
        <w:spacing w:line="440" w:lineRule="exact"/>
        <w:ind w:firstLine="359" w:firstLineChars="171"/>
        <w:rPr>
          <w:rFonts w:hint="eastAsia"/>
          <w:color w:val="000000"/>
          <w:szCs w:val="21"/>
        </w:rPr>
      </w:pPr>
    </w:p>
    <w:p>
      <w:pPr>
        <w:spacing w:line="360" w:lineRule="auto"/>
        <w:rPr>
          <w:rFonts w:eastAsia="黑体"/>
          <w:color w:val="000000"/>
          <w:szCs w:val="21"/>
        </w:rPr>
      </w:pPr>
      <w:r>
        <w:rPr>
          <w:rFonts w:eastAsia="黑体"/>
          <w:color w:val="000000"/>
          <w:szCs w:val="21"/>
        </w:rPr>
        <w:t>3 判定规则</w:t>
      </w:r>
    </w:p>
    <w:p>
      <w:pPr>
        <w:snapToGrid w:val="0"/>
        <w:spacing w:line="440" w:lineRule="exact"/>
        <w:rPr>
          <w:color w:val="000000"/>
          <w:szCs w:val="21"/>
        </w:rPr>
      </w:pPr>
      <w:r>
        <w:rPr>
          <w:color w:val="000000"/>
          <w:szCs w:val="21"/>
        </w:rPr>
        <w:t>3.1依据标准</w:t>
      </w:r>
    </w:p>
    <w:p>
      <w:pPr>
        <w:snapToGrid w:val="0"/>
        <w:spacing w:line="440" w:lineRule="exact"/>
        <w:ind w:firstLine="376" w:firstLineChars="171"/>
        <w:rPr>
          <w:rFonts w:hint="eastAsia" w:ascii="Times New Roman" w:hAnsi="Times New Roman" w:eastAsia="宋体" w:cs="Times New Roman"/>
          <w:color w:val="000000"/>
          <w:szCs w:val="21"/>
        </w:rPr>
      </w:pPr>
      <w:r>
        <w:rPr>
          <w:rFonts w:hint="eastAsia" w:ascii="宋体" w:hAnsi="宋体" w:eastAsia="宋体" w:cs="宋体"/>
          <w:i w:val="0"/>
          <w:iCs w:val="0"/>
          <w:color w:val="000000"/>
          <w:kern w:val="0"/>
          <w:sz w:val="22"/>
          <w:szCs w:val="22"/>
          <w:u w:val="none"/>
          <w:lang w:val="en-US" w:eastAsia="zh-CN" w:bidi="ar"/>
        </w:rPr>
        <w:t>GB 21556-2008</w:t>
      </w:r>
      <w:r>
        <w:rPr>
          <w:rFonts w:hint="eastAsia" w:ascii="Times New Roman" w:hAnsi="Times New Roman" w:eastAsia="宋体" w:cs="Times New Roman"/>
          <w:color w:val="000000"/>
          <w:szCs w:val="21"/>
        </w:rPr>
        <w:t>锁具安全通用技术条件</w:t>
      </w:r>
    </w:p>
    <w:p>
      <w:pPr>
        <w:snapToGrid w:val="0"/>
        <w:spacing w:line="440" w:lineRule="exact"/>
        <w:ind w:firstLine="376" w:firstLineChars="171"/>
        <w:rPr>
          <w:color w:val="000000"/>
          <w:szCs w:val="21"/>
        </w:rPr>
      </w:pPr>
      <w:r>
        <w:rPr>
          <w:rFonts w:hint="eastAsia" w:ascii="宋体" w:hAnsi="宋体" w:eastAsia="宋体" w:cs="宋体"/>
          <w:i w:val="0"/>
          <w:iCs w:val="0"/>
          <w:color w:val="000000"/>
          <w:kern w:val="0"/>
          <w:sz w:val="22"/>
          <w:szCs w:val="22"/>
          <w:u w:val="none"/>
          <w:lang w:val="en-US" w:eastAsia="zh-CN" w:bidi="ar"/>
        </w:rPr>
        <w:t>现行有效的企业标准</w:t>
      </w:r>
      <w:r>
        <w:rPr>
          <w:rFonts w:ascii="Times New Roman" w:hAnsi="Times New Roman" w:eastAsia="宋体" w:cs="Times New Roman"/>
          <w:color w:val="000000"/>
          <w:szCs w:val="21"/>
        </w:rPr>
        <w:t>、团体</w:t>
      </w:r>
      <w:r>
        <w:rPr>
          <w:color w:val="000000"/>
          <w:szCs w:val="21"/>
        </w:rPr>
        <w:t>标准、地方标准及产品明示质量要求</w:t>
      </w:r>
    </w:p>
    <w:p>
      <w:pPr>
        <w:snapToGrid w:val="0"/>
        <w:spacing w:line="440" w:lineRule="exact"/>
        <w:rPr>
          <w:color w:val="000000"/>
          <w:szCs w:val="21"/>
        </w:rPr>
      </w:pPr>
      <w:r>
        <w:rPr>
          <w:color w:val="000000"/>
          <w:szCs w:val="21"/>
        </w:rPr>
        <w:t>3.2判定原则</w:t>
      </w:r>
    </w:p>
    <w:p>
      <w:pPr>
        <w:snapToGrid w:val="0"/>
        <w:spacing w:line="440" w:lineRule="exact"/>
        <w:ind w:firstLine="420" w:firstLineChars="200"/>
        <w:rPr>
          <w:color w:val="000000"/>
          <w:szCs w:val="21"/>
        </w:rPr>
      </w:pPr>
      <w:r>
        <w:rPr>
          <w:color w:val="000000"/>
          <w:szCs w:val="21"/>
        </w:rPr>
        <w:t>经检验，检验项目全部合格，判定为被抽查产品</w:t>
      </w:r>
      <w:r>
        <w:rPr>
          <w:rFonts w:hint="eastAsia"/>
          <w:color w:val="000000"/>
          <w:szCs w:val="21"/>
        </w:rPr>
        <w:t>所检项目未发现不</w:t>
      </w:r>
      <w:r>
        <w:rPr>
          <w:color w:val="000000"/>
          <w:szCs w:val="21"/>
        </w:rPr>
        <w:t>合格；检验项目中任一项或一项以上不合格，判定为被抽查产品不合格。</w:t>
      </w:r>
    </w:p>
    <w:p>
      <w:pPr>
        <w:snapToGrid w:val="0"/>
        <w:spacing w:line="440" w:lineRule="exact"/>
        <w:ind w:firstLine="417" w:firstLineChars="199"/>
        <w:rPr>
          <w:color w:val="000000"/>
          <w:szCs w:val="21"/>
        </w:rPr>
      </w:pPr>
      <w:r>
        <w:rPr>
          <w:color w:val="000000"/>
          <w:szCs w:val="21"/>
        </w:rPr>
        <w:t>若被检产品明示的质量要求高于本细则中检验项目依据的标准要求时，应按被检产品明示的质量要求判定。</w:t>
      </w:r>
    </w:p>
    <w:p>
      <w:pPr>
        <w:snapToGrid w:val="0"/>
        <w:spacing w:line="440" w:lineRule="exact"/>
        <w:ind w:firstLine="417" w:firstLineChars="199"/>
        <w:rPr>
          <w:color w:val="000000"/>
          <w:szCs w:val="21"/>
        </w:rPr>
      </w:pPr>
      <w:r>
        <w:rPr>
          <w:color w:val="000000"/>
          <w:szCs w:val="21"/>
        </w:rPr>
        <w:t>若被检产品明示的质量要求低于本细则中检验项目依据的强制性标准要求时，应按照强制性标准要求判定。</w:t>
      </w:r>
    </w:p>
    <w:p>
      <w:pPr>
        <w:snapToGrid w:val="0"/>
        <w:spacing w:line="440" w:lineRule="exact"/>
        <w:ind w:firstLine="417" w:firstLineChars="199"/>
        <w:rPr>
          <w:color w:val="000000"/>
          <w:szCs w:val="21"/>
        </w:rPr>
      </w:pPr>
      <w:r>
        <w:rPr>
          <w:color w:val="000000"/>
          <w:szCs w:val="21"/>
        </w:rPr>
        <w:t>若被检产品明示的质量要求低于或包含本细则中检验项目依据的推荐性标准要求时，应以被检产品明示的质量要求判定。</w:t>
      </w:r>
    </w:p>
    <w:p>
      <w:pPr>
        <w:snapToGrid w:val="0"/>
        <w:spacing w:line="440" w:lineRule="exact"/>
        <w:ind w:firstLine="417" w:firstLineChars="199"/>
        <w:rPr>
          <w:color w:val="000000"/>
          <w:szCs w:val="21"/>
        </w:rPr>
      </w:pPr>
      <w:r>
        <w:rPr>
          <w:color w:val="000000"/>
          <w:szCs w:val="21"/>
        </w:rPr>
        <w:t>若被检产品明示的质量要求缺少本细则中检验项目依据的强制性标准要求时，应按照强制性标准要求判定。</w:t>
      </w:r>
    </w:p>
    <w:p>
      <w:pPr>
        <w:snapToGrid w:val="0"/>
        <w:spacing w:line="440" w:lineRule="exact"/>
        <w:ind w:firstLine="417" w:firstLineChars="199"/>
        <w:rPr>
          <w:color w:val="FF0000"/>
          <w:szCs w:val="21"/>
        </w:rPr>
      </w:pPr>
      <w:r>
        <w:rPr>
          <w:color w:val="000000"/>
          <w:szCs w:val="21"/>
        </w:rPr>
        <w:t>若被检产品明示的质量要求缺少本细则中检验项目依据的推荐性标准要求时，该项目不参与判定。</w:t>
      </w:r>
    </w:p>
    <w:sectPr>
      <w:headerReference r:id="rId3" w:type="default"/>
      <w:footerReference r:id="rId4" w:type="default"/>
      <w:footerReference r:id="rId5" w:type="even"/>
      <w:pgSz w:w="11906" w:h="16838"/>
      <w:pgMar w:top="1985" w:right="1474" w:bottom="1644" w:left="1474" w:header="851" w:footer="1191"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B0C63D0-D550-49DB-8DE1-086B1409CFCE}"/>
  </w:font>
  <w:font w:name="Arial">
    <w:panose1 w:val="020B0604020202020204"/>
    <w:charset w:val="01"/>
    <w:family w:val="swiss"/>
    <w:pitch w:val="default"/>
    <w:sig w:usb0="E0002AFF" w:usb1="C0007843" w:usb2="00000009" w:usb3="00000000" w:csb0="400001FF" w:csb1="FFFF0000"/>
    <w:embedRegular r:id="rId2" w:fontKey="{CE42C78B-3ED4-44C4-BF34-F13AD5B92806}"/>
  </w:font>
  <w:font w:name="黑体">
    <w:panose1 w:val="02010609060101010101"/>
    <w:charset w:val="86"/>
    <w:family w:val="auto"/>
    <w:pitch w:val="default"/>
    <w:sig w:usb0="800002BF" w:usb1="38CF7CFA" w:usb2="00000016" w:usb3="00000000" w:csb0="00040001" w:csb1="00000000"/>
    <w:embedRegular r:id="rId3" w:fontKey="{5320DE4D-D505-4336-80D3-664CE3CED126}"/>
  </w:font>
  <w:font w:name="Courier New">
    <w:panose1 w:val="02070309020205020404"/>
    <w:charset w:val="01"/>
    <w:family w:val="modern"/>
    <w:pitch w:val="default"/>
    <w:sig w:usb0="E0002AFF" w:usb1="C0007843" w:usb2="00000009" w:usb3="00000000" w:csb0="400001FF" w:csb1="FFFF0000"/>
    <w:embedRegular r:id="rId4" w:fontKey="{C7C1FB6E-8CA0-4EC9-9455-D5651C2BCAFD}"/>
  </w:font>
  <w:font w:name="Symbol">
    <w:panose1 w:val="05050102010706020507"/>
    <w:charset w:val="02"/>
    <w:family w:val="roman"/>
    <w:pitch w:val="default"/>
    <w:sig w:usb0="00000000" w:usb1="00000000" w:usb2="00000000" w:usb3="00000000" w:csb0="80000000" w:csb1="00000000"/>
    <w:embedRegular r:id="rId5" w:fontKey="{875510DD-B7FB-4739-8655-66B6E93F2E88}"/>
  </w:font>
  <w:font w:name="Calibri">
    <w:panose1 w:val="020F0502020204030204"/>
    <w:charset w:val="00"/>
    <w:family w:val="swiss"/>
    <w:pitch w:val="default"/>
    <w:sig w:usb0="E10002FF" w:usb1="4000ACFF" w:usb2="00000009" w:usb3="00000000" w:csb0="2000019F" w:csb1="00000000"/>
    <w:embedRegular r:id="rId6" w:fontKey="{1FBEF1C6-8174-4C33-9039-171059D3D6A7}"/>
  </w:font>
  <w:font w:name="Courier New">
    <w:panose1 w:val="02070309020205020404"/>
    <w:charset w:val="00"/>
    <w:family w:val="modern"/>
    <w:pitch w:val="default"/>
    <w:sig w:usb0="E0002AFF" w:usb1="C0007843" w:usb2="00000009" w:usb3="00000000" w:csb0="400001FF" w:csb1="FFFF0000"/>
    <w:embedRegular r:id="rId7" w:fontKey="{1C5A3ACE-7D38-49B0-A8F1-160247B06471}"/>
  </w:font>
  <w:font w:name="方正小标宋简体">
    <w:panose1 w:val="03000509000000000000"/>
    <w:charset w:val="86"/>
    <w:family w:val="auto"/>
    <w:pitch w:val="default"/>
    <w:sig w:usb0="00000001" w:usb1="080E0000" w:usb2="00000000" w:usb3="00000000" w:csb0="00040000" w:csb1="00000000"/>
    <w:embedRegular r:id="rId8" w:fontKey="{6656F7B4-A5DA-4E4C-883F-0351F8F997A3}"/>
  </w:font>
  <w:font w:name="方正仿宋简体">
    <w:panose1 w:val="03000509000000000000"/>
    <w:charset w:val="86"/>
    <w:family w:val="auto"/>
    <w:pitch w:val="default"/>
    <w:sig w:usb0="00000001" w:usb1="080E0000" w:usb2="00000000" w:usb3="00000000" w:csb0="00040000" w:csb1="00000000"/>
    <w:embedRegular r:id="rId9" w:fontKey="{D17465C0-4F92-4FE3-979A-0E7015CDEA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lang w:val="zh-CN"/>
      </w:rPr>
      <w:fldChar w:fldCharType="begin"/>
    </w:r>
    <w:r>
      <w:rPr>
        <w:lang w:val="zh-CN"/>
      </w:rPr>
      <w:instrText xml:space="preserve"> PAGE   \* MERGEFORMAT </w:instrText>
    </w:r>
    <w:r>
      <w:rPr>
        <w:lang w:val="zh-CN"/>
      </w:rPr>
      <w:fldChar w:fldCharType="separate"/>
    </w:r>
    <w:r>
      <w:rPr>
        <w:lang/>
      </w:rPr>
      <w:t>4</w:t>
    </w:r>
    <w:r>
      <w:rPr>
        <w:lang w:val="zh-CN"/>
      </w:rPr>
      <w:fldChar w:fldCharType="end"/>
    </w:r>
  </w:p>
  <w:p>
    <w:pPr>
      <w:pStyle w:val="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8"/>
      </w:rPr>
    </w:pPr>
    <w:r>
      <w:fldChar w:fldCharType="begin"/>
    </w:r>
    <w:r>
      <w:rPr>
        <w:rStyle w:val="8"/>
      </w:rPr>
      <w:instrText xml:space="preserve">PAGE  </w:instrText>
    </w:r>
    <w:r>
      <w:fldChar w:fldCharType="separate"/>
    </w:r>
    <w:r>
      <w:rPr>
        <w:rStyle w:val="8"/>
      </w:rPr>
      <w:t>2</w:t>
    </w:r>
    <w:r>
      <w:fldChar w:fldCharType="end"/>
    </w:r>
  </w:p>
  <w:p>
    <w:pPr>
      <w:pStyle w:val="4"/>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OGM1M2FhZjFkMGNjZGM3MTA2OTc3MmM3NTMzZTdmNTYifQ=="/>
  </w:docVars>
  <w:rsids>
    <w:rsidRoot w:val="00172A27"/>
    <w:rsid w:val="00051A44"/>
    <w:rsid w:val="00081CBD"/>
    <w:rsid w:val="000976DE"/>
    <w:rsid w:val="000F2437"/>
    <w:rsid w:val="001809DD"/>
    <w:rsid w:val="001A6489"/>
    <w:rsid w:val="00216232"/>
    <w:rsid w:val="00232530"/>
    <w:rsid w:val="00253624"/>
    <w:rsid w:val="002A3DD2"/>
    <w:rsid w:val="002C7985"/>
    <w:rsid w:val="002D7F8A"/>
    <w:rsid w:val="002E0D1D"/>
    <w:rsid w:val="003203A3"/>
    <w:rsid w:val="00365CBE"/>
    <w:rsid w:val="00390C38"/>
    <w:rsid w:val="003A0540"/>
    <w:rsid w:val="003A39D0"/>
    <w:rsid w:val="003A7D30"/>
    <w:rsid w:val="003C388C"/>
    <w:rsid w:val="003D09A1"/>
    <w:rsid w:val="003D3361"/>
    <w:rsid w:val="003E61BF"/>
    <w:rsid w:val="004104AC"/>
    <w:rsid w:val="00433DD2"/>
    <w:rsid w:val="00445E86"/>
    <w:rsid w:val="00474E04"/>
    <w:rsid w:val="004A2A43"/>
    <w:rsid w:val="004D0C5A"/>
    <w:rsid w:val="004D184C"/>
    <w:rsid w:val="004D1A13"/>
    <w:rsid w:val="004E1396"/>
    <w:rsid w:val="00563EBC"/>
    <w:rsid w:val="0058549D"/>
    <w:rsid w:val="005A3E08"/>
    <w:rsid w:val="005F7BCA"/>
    <w:rsid w:val="006E101D"/>
    <w:rsid w:val="006E1171"/>
    <w:rsid w:val="006F0971"/>
    <w:rsid w:val="0072334C"/>
    <w:rsid w:val="007A426F"/>
    <w:rsid w:val="00802A67"/>
    <w:rsid w:val="00860A1D"/>
    <w:rsid w:val="00895BEA"/>
    <w:rsid w:val="008A3497"/>
    <w:rsid w:val="00917A54"/>
    <w:rsid w:val="00953E64"/>
    <w:rsid w:val="009E62BC"/>
    <w:rsid w:val="009F24EF"/>
    <w:rsid w:val="00A4258F"/>
    <w:rsid w:val="00A43553"/>
    <w:rsid w:val="00A8267E"/>
    <w:rsid w:val="00AC5391"/>
    <w:rsid w:val="00AE7FD1"/>
    <w:rsid w:val="00B3090F"/>
    <w:rsid w:val="00B5342C"/>
    <w:rsid w:val="00B737A1"/>
    <w:rsid w:val="00BF2B8C"/>
    <w:rsid w:val="00C05D3B"/>
    <w:rsid w:val="00C26074"/>
    <w:rsid w:val="00C768B2"/>
    <w:rsid w:val="00C83B0A"/>
    <w:rsid w:val="00CB0961"/>
    <w:rsid w:val="00CB1E77"/>
    <w:rsid w:val="00CE1E0C"/>
    <w:rsid w:val="00CE277E"/>
    <w:rsid w:val="00CE58B2"/>
    <w:rsid w:val="00D275A5"/>
    <w:rsid w:val="00D56867"/>
    <w:rsid w:val="00D60AA9"/>
    <w:rsid w:val="00DE616D"/>
    <w:rsid w:val="00E02A7F"/>
    <w:rsid w:val="00E07880"/>
    <w:rsid w:val="00E7086B"/>
    <w:rsid w:val="00E82621"/>
    <w:rsid w:val="00EB3BDC"/>
    <w:rsid w:val="00F1798B"/>
    <w:rsid w:val="00F30146"/>
    <w:rsid w:val="00F77C9A"/>
    <w:rsid w:val="00FB576C"/>
    <w:rsid w:val="00FD2AA6"/>
    <w:rsid w:val="00FE7E8A"/>
    <w:rsid w:val="03EC13CD"/>
    <w:rsid w:val="06AE79BF"/>
    <w:rsid w:val="11E53203"/>
    <w:rsid w:val="135E66BA"/>
    <w:rsid w:val="1C7E1386"/>
    <w:rsid w:val="2684763E"/>
    <w:rsid w:val="313C687A"/>
    <w:rsid w:val="34373A3F"/>
    <w:rsid w:val="35B1179B"/>
    <w:rsid w:val="36E844AC"/>
    <w:rsid w:val="37DA7529"/>
    <w:rsid w:val="38DF725C"/>
    <w:rsid w:val="3975226C"/>
    <w:rsid w:val="427D7304"/>
    <w:rsid w:val="45E07015"/>
    <w:rsid w:val="46A240EA"/>
    <w:rsid w:val="4CA31E08"/>
    <w:rsid w:val="4D142160"/>
    <w:rsid w:val="53E876F6"/>
    <w:rsid w:val="60CF1B6A"/>
    <w:rsid w:val="60DB7803"/>
    <w:rsid w:val="64CD4645"/>
    <w:rsid w:val="76361110"/>
    <w:rsid w:val="77FE704C"/>
    <w:rsid w:val="7CE5347F"/>
    <w:rsid w:val="7D82306E"/>
    <w:rsid w:val="7E416B6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nhideWhenUsed="0" w:uiPriority="0"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iPriority="99" w:name="Table Grid"/>
    <w:lsdException w:uiPriority="99" w:name="Table Theme"/>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atentStyles>
  <w:style w:type="paragraph" w:default="1" w:styleId="1">
    <w:name w:val="Normal"/>
    <w:qFormat/>
    <w:uiPriority w:val="0"/>
    <w:pPr>
      <w:widowControl w:val="0"/>
      <w:jc w:val="both"/>
    </w:pPr>
    <w:rPr>
      <w:kern w:val="2"/>
      <w:sz w:val="21"/>
      <w:szCs w:val="24"/>
      <w:lang w:val="en-US" w:eastAsia="zh-CN" w:bidi="ar-SA"/>
    </w:rPr>
  </w:style>
  <w:style w:type="character" w:default="1" w:styleId="7">
    <w:name w:val="Default Paragraph Font"/>
    <w:semiHidden/>
    <w:uiPriority w:val="0"/>
  </w:style>
  <w:style w:type="table" w:default="1" w:styleId="6">
    <w:name w:val="Normal Table"/>
    <w:unhideWhenUsed/>
    <w:uiPriority w:val="99"/>
    <w:tblPr>
      <w:tblStyle w:val="6"/>
      <w:tblCellMar>
        <w:top w:w="0" w:type="dxa"/>
        <w:left w:w="108" w:type="dxa"/>
        <w:bottom w:w="0" w:type="dxa"/>
        <w:right w:w="108" w:type="dxa"/>
      </w:tblCellMar>
    </w:tblPr>
  </w:style>
  <w:style w:type="paragraph" w:styleId="2">
    <w:name w:val="Plain Text"/>
    <w:basedOn w:val="1"/>
    <w:link w:val="9"/>
    <w:uiPriority w:val="99"/>
    <w:rPr>
      <w:rFonts w:ascii="宋体" w:hAnsi="Courier New"/>
      <w:kern w:val="0"/>
      <w:sz w:val="20"/>
      <w:szCs w:val="20"/>
    </w:rPr>
  </w:style>
  <w:style w:type="paragraph" w:styleId="3">
    <w:name w:val="Balloon Text"/>
    <w:basedOn w:val="1"/>
    <w:link w:val="10"/>
    <w:unhideWhenUsed/>
    <w:uiPriority w:val="99"/>
    <w:rPr>
      <w:sz w:val="18"/>
      <w:szCs w:val="18"/>
    </w:rPr>
  </w:style>
  <w:style w:type="paragraph" w:styleId="4">
    <w:name w:val="footer"/>
    <w:basedOn w:val="1"/>
    <w:link w:val="11"/>
    <w:unhideWhenUsed/>
    <w:uiPriority w:val="99"/>
    <w:pPr>
      <w:tabs>
        <w:tab w:val="center" w:pos="4153"/>
        <w:tab w:val="right" w:pos="8306"/>
      </w:tabs>
      <w:snapToGrid w:val="0"/>
      <w:jc w:val="left"/>
    </w:pPr>
    <w:rPr>
      <w:sz w:val="18"/>
      <w:szCs w:val="18"/>
    </w:rPr>
  </w:style>
  <w:style w:type="paragraph" w:styleId="5">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character" w:styleId="8">
    <w:name w:val="page number"/>
    <w:uiPriority w:val="0"/>
  </w:style>
  <w:style w:type="character" w:customStyle="1" w:styleId="9">
    <w:name w:val="纯文本 字符"/>
    <w:link w:val="2"/>
    <w:locked/>
    <w:uiPriority w:val="99"/>
    <w:rPr>
      <w:rFonts w:ascii="宋体" w:hAnsi="Courier New"/>
    </w:rPr>
  </w:style>
  <w:style w:type="character" w:customStyle="1" w:styleId="10">
    <w:name w:val="批注框文本 字符"/>
    <w:link w:val="3"/>
    <w:semiHidden/>
    <w:uiPriority w:val="99"/>
    <w:rPr>
      <w:kern w:val="2"/>
      <w:sz w:val="18"/>
      <w:szCs w:val="18"/>
    </w:rPr>
  </w:style>
  <w:style w:type="character" w:customStyle="1" w:styleId="11">
    <w:name w:val="页脚 字符1"/>
    <w:link w:val="4"/>
    <w:uiPriority w:val="99"/>
    <w:rPr>
      <w:kern w:val="2"/>
      <w:sz w:val="18"/>
      <w:szCs w:val="18"/>
    </w:rPr>
  </w:style>
  <w:style w:type="character" w:customStyle="1" w:styleId="12">
    <w:name w:val="页眉 字符"/>
    <w:link w:val="5"/>
    <w:semiHidden/>
    <w:uiPriority w:val="99"/>
    <w:rPr>
      <w:kern w:val="2"/>
      <w:sz w:val="18"/>
      <w:szCs w:val="18"/>
    </w:rPr>
  </w:style>
  <w:style w:type="character" w:customStyle="1" w:styleId="13">
    <w:name w:val="纯文本 字符1"/>
    <w:semiHidden/>
    <w:uiPriority w:val="99"/>
    <w:rPr>
      <w:rFonts w:ascii="宋体" w:hAnsi="Courier New" w:cs="Courier New"/>
      <w:kern w:val="2"/>
      <w:sz w:val="21"/>
      <w:szCs w:val="21"/>
    </w:rPr>
  </w:style>
  <w:style w:type="character" w:customStyle="1" w:styleId="14">
    <w:name w:val="页脚 字符"/>
    <w:uiPriority w:val="99"/>
    <w:rPr>
      <w:kern w:val="2"/>
      <w:sz w:val="18"/>
      <w:szCs w:val="18"/>
    </w:rPr>
  </w:style>
  <w:style w:type="paragraph" w:customStyle="1" w:styleId="15">
    <w:name w:val="列出段落1"/>
    <w:basedOn w:val="1"/>
    <w:qFormat/>
    <w:uiPriority w:val="34"/>
    <w:pPr>
      <w:ind w:firstLine="420" w:firstLineChars="200"/>
    </w:pPr>
    <w:rPr>
      <w:rFonts w:ascii="Calibri" w:hAnsi="Calibri"/>
      <w:szCs w:val="22"/>
    </w:rPr>
  </w:style>
  <w:style w:type="paragraph" w:customStyle="1" w:styleId="16">
    <w:name w:val="列项·"/>
    <w:uiPriority w:val="99"/>
    <w:pPr>
      <w:tabs>
        <w:tab w:val="left" w:pos="840"/>
      </w:tabs>
      <w:ind w:left="420"/>
      <w:jc w:val="both"/>
    </w:pPr>
    <w:rPr>
      <w:rFonts w:ascii="宋体"/>
      <w:sz w:val="21"/>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Legend (Beijing) Limited</Company>
  <Pages>2</Pages>
  <Words>679</Words>
  <Characters>790</Characters>
  <Lines>18</Lines>
  <Paragraphs>5</Paragraphs>
  <TotalTime>0</TotalTime>
  <ScaleCrop>false</ScaleCrop>
  <LinksUpToDate>false</LinksUpToDate>
  <CharactersWithSpaces>809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2004-08-06T03:45:00Z</dcterms:created>
  <dc:creator>Legend User</dc:creator>
  <cp:lastModifiedBy>SJJ</cp:lastModifiedBy>
  <cp:lastPrinted>2019-12-05T07:53:00Z</cp:lastPrinted>
  <dcterms:modified xsi:type="dcterms:W3CDTF">2024-07-05T09:39:09Z</dcterms:modified>
  <dc:title>××产品质量监督抽查实施细则</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KSOSaveFontToCloudKey">
    <vt:lpwstr>550453206_embed</vt:lpwstr>
  </property>
  <property fmtid="{D5CDD505-2E9C-101B-9397-08002B2CF9AE}" pid="4" name="ICV">
    <vt:lpwstr>64AFFC03E8684064827CD1B203C2127C_13</vt:lpwstr>
  </property>
</Properties>
</file>