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/>
          <w:bCs w:val="0"/>
          <w:color w:val="002060"/>
          <w:sz w:val="48"/>
          <w:szCs w:val="48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color w:val="000000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晋江市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电动自行车及蓄电池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产品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质量监督抽查实施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eastAsia="zh-CN"/>
        </w:rPr>
        <w:t>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一、抽样方式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24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（1）抽样领域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24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生产领域、流通领域（实体店抽样）。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24" w:lineRule="auto"/>
        <w:ind w:right="1440" w:rightChars="0"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（2）抽样数量、抽样型号或规格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24" w:lineRule="auto"/>
        <w:ind w:right="1440" w:rightChars="0" w:firstLine="560" w:firstLineChars="200"/>
        <w:textAlignment w:val="auto"/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抽样基数满足抽样数量即可。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324" w:lineRule="auto"/>
        <w:ind w:right="1440" w:rightChars="0" w:firstLine="560" w:firstLineChars="200"/>
        <w:jc w:val="center"/>
        <w:textAlignment w:val="auto"/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表1 抽样数量表</w:t>
      </w:r>
    </w:p>
    <w:tbl>
      <w:tblPr>
        <w:tblStyle w:val="20"/>
        <w:tblW w:w="8204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805"/>
        <w:gridCol w:w="1896"/>
        <w:gridCol w:w="189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8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抽样数量</w:t>
            </w:r>
          </w:p>
        </w:tc>
        <w:tc>
          <w:tcPr>
            <w:tcW w:w="18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检验数量</w:t>
            </w:r>
          </w:p>
        </w:tc>
        <w:tc>
          <w:tcPr>
            <w:tcW w:w="18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备样数量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电动自行车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2辆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1辆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1辆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电动助力车用阀控式铅酸蓄电池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2组（8只）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1组（4只）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  <w:t>1组（4只）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抽取的样品应为同一型号规格、同一批次的产品。如存在多个规格型号可以抽取的，优先抽取企业主导产品。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样品要求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本次抽检产品主要包括电动自行车、电动助力车用阀控式铅酸蓄电池，抽取的样品应放在干燥阴凉通风处，避免风吹日晒，每种产品应单独存放，避免不同产品交叉污染。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4）抽样形式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生产企业抽样时，原则上在同一个受检单位（被委托方）可抽取不超过3个生产单位（委托方）的产品，每个生产者仅抽取1个规格型号的产品。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实体店抽取经企业检验合格或以任何方式表明合格（合格证、合格报告、企业相关人员确认等方式均可）的、近期的产品，产品保质期须能满足抽样、检验工作的时间需要。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实体店抽样时，原则上同一个受检单位可抽取不超过3个不同生产单位的产品。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28"/>
          <w:szCs w:val="28"/>
          <w:lang w:val="en-US" w:eastAsia="zh-CN" w:bidi="ar-SA"/>
        </w:rPr>
        <w:t>样品应当由抽样人员在被抽样销售者、生产者的待销产品中按照GB/T10111-2008《随机数的产生及其在产品质量抽样检验中的应用程序》进行随机抽取，不得由被抽检单位自行抽样。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（5）检验样品获取方式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以购买的形式获得检验样品，备用样品由被抽检单位无偿提供。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二、企业生产规模划分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按照国家统计局《统计上大中小微型企业划分办法》划分。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企业生产规模划分方法</w:t>
      </w:r>
    </w:p>
    <w:tbl>
      <w:tblPr>
        <w:tblStyle w:val="19"/>
        <w:tblW w:w="104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71"/>
        <w:gridCol w:w="848"/>
        <w:gridCol w:w="1453"/>
        <w:gridCol w:w="2190"/>
        <w:gridCol w:w="1912"/>
        <w:gridCol w:w="1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行业名称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指标名称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计量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中型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微型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工业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从业人员(X)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X≥1000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300≤X＜1000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20≤X＜300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X＜20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营业收入(Y)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Y≥40000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2000≤Y＜40000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300≤Y＜2000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Y＜300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19191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191919"/>
          <w:sz w:val="28"/>
          <w:szCs w:val="28"/>
          <w:shd w:val="clear" w:color="auto" w:fill="FFFFFF"/>
        </w:rPr>
        <w:t>大型、中型和小型企业须同时满足所列指标的下限，否则下划一档；微型企业只须满足所列指标中的一项即可。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三、产品管理情况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无产品管理相关情况。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  <w:t>四、抽查产品的标准体系状况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GB 17761-2018 电动自行车安全技术规范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GB 42295-2022 电动自行车电气安全要求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GB/T 22199.1-2017 电动助力车用阀控式铅酸蓄电池 第1部分：技术条件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现行有效的企业标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准及产品明示质量要求。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五、样品处置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样品抽取后，当场对样品密封，在样品外包装封口处施加封样标识，并保证封条在运输过程中不会破损。对检验样品和备用样品分别封样，在封条上分别注明“检验样品”与“备用样品”，为保证样品的真实性，封条上至少要有产品名称、抽样日期、抽样人和被抽查代表签字以及抽样单位等相关信息。同时应拍照或摄像，抽样现场样品封样前后照片（2张),照片必须带时间、地点水印。封样前照片带抽样场景，封样后的照片显示样品封样细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为确保样品完好有效，每一个样品应有独立包装，并附有完整的出厂标识标签和说明书等，在运输和邮寄过程中应当适当防护，防止样品变形或破损等影响检测的情况。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检验样品应由抽样人员携带或邮寄承检机构，如有特殊搬运或储存要求，抽样人员应在样品上注明，并按要求进行处置，同时采取摄像、拍照等形式记录样品封存状态。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备用样品封存被抽检单位，并加施封存标识，拍摄、保存相应影像记录，同时应填写《产品质量监督抽查样品封存和处置告知单》。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i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Cs/>
          <w:color w:val="000000"/>
          <w:sz w:val="28"/>
          <w:szCs w:val="28"/>
          <w:lang w:val="en-US" w:eastAsia="zh-CN"/>
        </w:rPr>
        <w:t>六、检验剩余样品处置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检验结论为合格，进行实验后仍有使用价值的样品残样，我方如实登记造册并妥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善保存，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晋江市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市场监督管理局相关部门在异议处理申请期限届满后及时退还。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检验结论为不合格的样品，我方联系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晋江市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市场监督管理局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相关部门进行销毁处理，并如实登记造册。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检验完成后，样品残样无使用价值做报废处理，我公司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如实登记造册并妥善保存。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i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Cs/>
          <w:color w:val="000000"/>
          <w:sz w:val="28"/>
          <w:szCs w:val="28"/>
          <w:lang w:val="en-US" w:eastAsia="zh-CN"/>
        </w:rPr>
        <w:t>七、检验应注意的问题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检验人员接收样品时，应注意样品封样状态是否完好，每一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个样品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应有独立包装，并附有完整的出厂标识标签和说明书等，运输和邮寄过程中样品是否变形和破损。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试验前，应对样品外观、标签进行拍照保存。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八、工作分工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按照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晋江市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市场监督管理局下达的文件要求，我公司独立承担本次任务的抽样工作、检验工作。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、进度要求</w:t>
      </w:r>
    </w:p>
    <w:p>
      <w:pPr>
        <w:pStyle w:val="6"/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根据晋江市市场监督管理局监督抽查工作进度要求，明确各部门任务分工以及各阶段工作的时间节点。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抽样检验工作进度要求</w:t>
      </w:r>
    </w:p>
    <w:tbl>
      <w:tblPr>
        <w:tblStyle w:val="19"/>
        <w:tblW w:w="8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时间安排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任务部署后5日内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抽样前准备工作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以任务部署文件为准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实施抽样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以任务部署文件为准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检验结束后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5日内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检验报告及结果通知发放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十、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其他注意事项</w:t>
      </w:r>
    </w:p>
    <w:p>
      <w:pPr>
        <w:autoSpaceDE w:val="0"/>
        <w:autoSpaceDN w:val="0"/>
        <w:adjustRightInd w:val="0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本方案未覆盖的条款可参照《产品质量监督抽查管理暂行办法》或产品质量监督抽查实施规范。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78FF1A-0C98-4418-8E58-62437D81FB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615ED"/>
    <w:multiLevelType w:val="singleLevel"/>
    <w:tmpl w:val="B5E615E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2FhZjFkMGNjZGM3MTA2OTc3MmM3NTMzZTdmNTYifQ=="/>
  </w:docVars>
  <w:rsids>
    <w:rsidRoot w:val="73D90221"/>
    <w:rsid w:val="000E51E7"/>
    <w:rsid w:val="01A21224"/>
    <w:rsid w:val="01FE0DF0"/>
    <w:rsid w:val="02144C18"/>
    <w:rsid w:val="03385EA0"/>
    <w:rsid w:val="03867FA6"/>
    <w:rsid w:val="03C96A17"/>
    <w:rsid w:val="03CC63D1"/>
    <w:rsid w:val="04E1395C"/>
    <w:rsid w:val="05500A8F"/>
    <w:rsid w:val="05737205"/>
    <w:rsid w:val="05F122C1"/>
    <w:rsid w:val="06914DE1"/>
    <w:rsid w:val="07D927D2"/>
    <w:rsid w:val="085015D2"/>
    <w:rsid w:val="08630549"/>
    <w:rsid w:val="086513B6"/>
    <w:rsid w:val="08702DC7"/>
    <w:rsid w:val="088204FF"/>
    <w:rsid w:val="08A44AAB"/>
    <w:rsid w:val="08F12E8B"/>
    <w:rsid w:val="09CF47C3"/>
    <w:rsid w:val="0BE613BE"/>
    <w:rsid w:val="0C4F74F5"/>
    <w:rsid w:val="0C833938"/>
    <w:rsid w:val="0CA73F60"/>
    <w:rsid w:val="0CB76DF5"/>
    <w:rsid w:val="0D7642B9"/>
    <w:rsid w:val="0F1A238E"/>
    <w:rsid w:val="10195CAF"/>
    <w:rsid w:val="105A397C"/>
    <w:rsid w:val="10CB011F"/>
    <w:rsid w:val="111A5595"/>
    <w:rsid w:val="112623C9"/>
    <w:rsid w:val="11366A90"/>
    <w:rsid w:val="11853A5D"/>
    <w:rsid w:val="121A45A7"/>
    <w:rsid w:val="125245D3"/>
    <w:rsid w:val="12F74C7B"/>
    <w:rsid w:val="130F2278"/>
    <w:rsid w:val="13681478"/>
    <w:rsid w:val="1453551E"/>
    <w:rsid w:val="14CB44CC"/>
    <w:rsid w:val="14F75289"/>
    <w:rsid w:val="15D46F84"/>
    <w:rsid w:val="167D1F00"/>
    <w:rsid w:val="16800B18"/>
    <w:rsid w:val="17362310"/>
    <w:rsid w:val="175E38BE"/>
    <w:rsid w:val="19F10EE3"/>
    <w:rsid w:val="1C475B66"/>
    <w:rsid w:val="1C525717"/>
    <w:rsid w:val="1DAE0033"/>
    <w:rsid w:val="1E3164F8"/>
    <w:rsid w:val="1FC42F29"/>
    <w:rsid w:val="1FFD7C03"/>
    <w:rsid w:val="204A4B29"/>
    <w:rsid w:val="20C81905"/>
    <w:rsid w:val="223052B1"/>
    <w:rsid w:val="229D2A23"/>
    <w:rsid w:val="22ED2CEB"/>
    <w:rsid w:val="22EE60EE"/>
    <w:rsid w:val="23170A07"/>
    <w:rsid w:val="23BA75DB"/>
    <w:rsid w:val="23C01249"/>
    <w:rsid w:val="23EC320B"/>
    <w:rsid w:val="24603AA8"/>
    <w:rsid w:val="27075A45"/>
    <w:rsid w:val="270C6EEE"/>
    <w:rsid w:val="27883C33"/>
    <w:rsid w:val="28210959"/>
    <w:rsid w:val="28340BA9"/>
    <w:rsid w:val="286E6967"/>
    <w:rsid w:val="29B7027C"/>
    <w:rsid w:val="29DA5711"/>
    <w:rsid w:val="2A157677"/>
    <w:rsid w:val="2A477FF3"/>
    <w:rsid w:val="2A5829BC"/>
    <w:rsid w:val="2B013286"/>
    <w:rsid w:val="2C9D18E1"/>
    <w:rsid w:val="2CC83000"/>
    <w:rsid w:val="2D524B49"/>
    <w:rsid w:val="2D802E17"/>
    <w:rsid w:val="2DB13FEB"/>
    <w:rsid w:val="2ED569C4"/>
    <w:rsid w:val="2F346AAB"/>
    <w:rsid w:val="2F530DCD"/>
    <w:rsid w:val="302F67BD"/>
    <w:rsid w:val="30527838"/>
    <w:rsid w:val="30A4683F"/>
    <w:rsid w:val="315C768C"/>
    <w:rsid w:val="31707511"/>
    <w:rsid w:val="34201C88"/>
    <w:rsid w:val="34E438FD"/>
    <w:rsid w:val="352230AF"/>
    <w:rsid w:val="35C627F1"/>
    <w:rsid w:val="35D67210"/>
    <w:rsid w:val="35E97D1E"/>
    <w:rsid w:val="361C5716"/>
    <w:rsid w:val="36FA0562"/>
    <w:rsid w:val="38574CAD"/>
    <w:rsid w:val="387D0211"/>
    <w:rsid w:val="38D76524"/>
    <w:rsid w:val="393571D2"/>
    <w:rsid w:val="39494B6D"/>
    <w:rsid w:val="39A55B25"/>
    <w:rsid w:val="39A833B1"/>
    <w:rsid w:val="3A253A12"/>
    <w:rsid w:val="3C070788"/>
    <w:rsid w:val="3CEB56B2"/>
    <w:rsid w:val="3D570745"/>
    <w:rsid w:val="3D9A19DD"/>
    <w:rsid w:val="3ED77854"/>
    <w:rsid w:val="3EF56FF0"/>
    <w:rsid w:val="3FF739A3"/>
    <w:rsid w:val="402B62B8"/>
    <w:rsid w:val="4042504F"/>
    <w:rsid w:val="405F116E"/>
    <w:rsid w:val="41AA4AE9"/>
    <w:rsid w:val="41CB6383"/>
    <w:rsid w:val="41D75EBE"/>
    <w:rsid w:val="427F77D3"/>
    <w:rsid w:val="43CC3985"/>
    <w:rsid w:val="46174B3D"/>
    <w:rsid w:val="465C04A4"/>
    <w:rsid w:val="46772D26"/>
    <w:rsid w:val="467A5D64"/>
    <w:rsid w:val="46EC371B"/>
    <w:rsid w:val="488E5138"/>
    <w:rsid w:val="48A057F6"/>
    <w:rsid w:val="48DD4E0D"/>
    <w:rsid w:val="490E368E"/>
    <w:rsid w:val="49D67EEA"/>
    <w:rsid w:val="4C721CA6"/>
    <w:rsid w:val="4D7F192D"/>
    <w:rsid w:val="4EB24585"/>
    <w:rsid w:val="4EB415F9"/>
    <w:rsid w:val="4EEC5939"/>
    <w:rsid w:val="4F5268A8"/>
    <w:rsid w:val="4F6467A0"/>
    <w:rsid w:val="4F754DC6"/>
    <w:rsid w:val="4F971036"/>
    <w:rsid w:val="4F9B2309"/>
    <w:rsid w:val="4FE05B1E"/>
    <w:rsid w:val="502139ED"/>
    <w:rsid w:val="50D57369"/>
    <w:rsid w:val="512E7A17"/>
    <w:rsid w:val="51443A99"/>
    <w:rsid w:val="514D1140"/>
    <w:rsid w:val="51785E1A"/>
    <w:rsid w:val="52FC092E"/>
    <w:rsid w:val="530151FA"/>
    <w:rsid w:val="53542012"/>
    <w:rsid w:val="54735A0F"/>
    <w:rsid w:val="54926095"/>
    <w:rsid w:val="54E140C2"/>
    <w:rsid w:val="54E260F9"/>
    <w:rsid w:val="557E69C6"/>
    <w:rsid w:val="55F120A5"/>
    <w:rsid w:val="560A281A"/>
    <w:rsid w:val="5780368B"/>
    <w:rsid w:val="57D35E09"/>
    <w:rsid w:val="58B00C39"/>
    <w:rsid w:val="592E2986"/>
    <w:rsid w:val="59450F60"/>
    <w:rsid w:val="5970638D"/>
    <w:rsid w:val="59B85533"/>
    <w:rsid w:val="5AB92F4E"/>
    <w:rsid w:val="5AE55772"/>
    <w:rsid w:val="5B520A14"/>
    <w:rsid w:val="5BC87802"/>
    <w:rsid w:val="5C0D2AE1"/>
    <w:rsid w:val="5C353E27"/>
    <w:rsid w:val="5CC50108"/>
    <w:rsid w:val="5CDB6E2E"/>
    <w:rsid w:val="5DA92F81"/>
    <w:rsid w:val="5DF8292D"/>
    <w:rsid w:val="609D7E07"/>
    <w:rsid w:val="60A4231A"/>
    <w:rsid w:val="614E0ACD"/>
    <w:rsid w:val="62FD7D4D"/>
    <w:rsid w:val="63787800"/>
    <w:rsid w:val="63BB6E79"/>
    <w:rsid w:val="63FB335E"/>
    <w:rsid w:val="655C498A"/>
    <w:rsid w:val="6598641C"/>
    <w:rsid w:val="663372BC"/>
    <w:rsid w:val="67CD354A"/>
    <w:rsid w:val="67CF73A5"/>
    <w:rsid w:val="680D51F2"/>
    <w:rsid w:val="6A642188"/>
    <w:rsid w:val="6B394A04"/>
    <w:rsid w:val="6C034850"/>
    <w:rsid w:val="6CD51D06"/>
    <w:rsid w:val="6D452113"/>
    <w:rsid w:val="6DBC1635"/>
    <w:rsid w:val="6DD2746D"/>
    <w:rsid w:val="6DF34CE7"/>
    <w:rsid w:val="6E6A1DC3"/>
    <w:rsid w:val="6F5467F1"/>
    <w:rsid w:val="6F5E0C09"/>
    <w:rsid w:val="70964866"/>
    <w:rsid w:val="70D4681F"/>
    <w:rsid w:val="71935E20"/>
    <w:rsid w:val="723D5C48"/>
    <w:rsid w:val="72F275EE"/>
    <w:rsid w:val="73A25C0E"/>
    <w:rsid w:val="73D90221"/>
    <w:rsid w:val="75CA2D3A"/>
    <w:rsid w:val="761568FA"/>
    <w:rsid w:val="769E5715"/>
    <w:rsid w:val="76FA689A"/>
    <w:rsid w:val="774E40C1"/>
    <w:rsid w:val="777B1E5B"/>
    <w:rsid w:val="784A3441"/>
    <w:rsid w:val="7874743B"/>
    <w:rsid w:val="78787819"/>
    <w:rsid w:val="78C728B3"/>
    <w:rsid w:val="794943AC"/>
    <w:rsid w:val="798365BE"/>
    <w:rsid w:val="7A1F2CF1"/>
    <w:rsid w:val="7A6B03CD"/>
    <w:rsid w:val="7B512D38"/>
    <w:rsid w:val="7B975CC3"/>
    <w:rsid w:val="7BA65B7A"/>
    <w:rsid w:val="7CF90773"/>
    <w:rsid w:val="7EEB6C10"/>
    <w:rsid w:val="7F5D2915"/>
    <w:rsid w:val="7FE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3">
    <w:name w:val="Block Text"/>
    <w:basedOn w:val="1"/>
    <w:qFormat/>
    <w:uiPriority w:val="0"/>
    <w:pPr>
      <w:widowControl/>
      <w:tabs>
        <w:tab w:val="right" w:pos="8640"/>
      </w:tabs>
      <w:adjustRightInd w:val="0"/>
      <w:snapToGrid w:val="0"/>
      <w:spacing w:after="120" w:line="360" w:lineRule="auto"/>
      <w:ind w:left="1440" w:leftChars="700" w:right="1440"/>
      <w:jc w:val="both"/>
    </w:pPr>
    <w:rPr>
      <w:rFonts w:ascii="Garamond" w:hAnsi="Garamond" w:eastAsia="Times New Roman" w:cs="Times New Roman"/>
      <w:spacing w:val="-2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8DE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sz w:val="0"/>
      <w:szCs w:val="0"/>
      <w:shd w:val="clear" w:fill="FFFFFF"/>
    </w:rPr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8DE6"/>
      <w:u w:val="none"/>
    </w:rPr>
  </w:style>
  <w:style w:type="character" w:styleId="15">
    <w:name w:val="HTML Cod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8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列出段落1"/>
    <w:basedOn w:val="1"/>
    <w:next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hover31"/>
    <w:basedOn w:val="8"/>
    <w:qFormat/>
    <w:uiPriority w:val="0"/>
  </w:style>
  <w:style w:type="character" w:customStyle="1" w:styleId="23">
    <w:name w:val="hover32"/>
    <w:basedOn w:val="8"/>
    <w:qFormat/>
    <w:uiPriority w:val="0"/>
    <w:rPr>
      <w:color w:val="315EFB"/>
    </w:rPr>
  </w:style>
  <w:style w:type="character" w:customStyle="1" w:styleId="24">
    <w:name w:val="c-icon30"/>
    <w:basedOn w:val="8"/>
    <w:qFormat/>
    <w:uiPriority w:val="0"/>
  </w:style>
  <w:style w:type="character" w:customStyle="1" w:styleId="25">
    <w:name w:val="ec_d20_recomm_link2"/>
    <w:basedOn w:val="8"/>
    <w:qFormat/>
    <w:uiPriority w:val="0"/>
  </w:style>
  <w:style w:type="character" w:customStyle="1" w:styleId="26">
    <w:name w:val="fontborder"/>
    <w:basedOn w:val="8"/>
    <w:qFormat/>
    <w:uiPriority w:val="0"/>
    <w:rPr>
      <w:bdr w:val="single" w:color="000000" w:sz="6" w:space="0"/>
    </w:rPr>
  </w:style>
  <w:style w:type="character" w:customStyle="1" w:styleId="27">
    <w:name w:val="fontstrikethrough"/>
    <w:basedOn w:val="8"/>
    <w:qFormat/>
    <w:uiPriority w:val="0"/>
    <w:rPr>
      <w:strike/>
    </w:rPr>
  </w:style>
  <w:style w:type="paragraph" w:customStyle="1" w:styleId="28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Table Paragraph"/>
    <w:basedOn w:val="1"/>
    <w:qFormat/>
    <w:uiPriority w:val="1"/>
    <w:pPr>
      <w:spacing w:before="114"/>
      <w:jc w:val="center"/>
    </w:pPr>
    <w:rPr>
      <w:rFonts w:ascii="仿宋" w:hAnsi="仿宋" w:eastAsia="仿宋" w:cs="仿宋"/>
      <w:lang w:val="en-US" w:eastAsia="en-US" w:bidi="en-US"/>
    </w:rPr>
  </w:style>
  <w:style w:type="character" w:customStyle="1" w:styleId="30">
    <w:name w:val="c-icon"/>
    <w:basedOn w:val="8"/>
    <w:qFormat/>
    <w:uiPriority w:val="0"/>
  </w:style>
  <w:style w:type="character" w:customStyle="1" w:styleId="31">
    <w:name w:val="hover25"/>
    <w:basedOn w:val="8"/>
    <w:qFormat/>
    <w:uiPriority w:val="0"/>
  </w:style>
  <w:style w:type="character" w:customStyle="1" w:styleId="32">
    <w:name w:val="hover26"/>
    <w:basedOn w:val="8"/>
    <w:qFormat/>
    <w:uiPriority w:val="0"/>
    <w:rPr>
      <w:color w:val="315EFB"/>
    </w:rPr>
  </w:style>
  <w:style w:type="character" w:customStyle="1" w:styleId="3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35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36">
    <w:name w:val="font4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2108</Words>
  <Characters>2385</Characters>
  <Lines>0</Lines>
  <Paragraphs>0</Paragraphs>
  <TotalTime>1</TotalTime>
  <ScaleCrop>false</ScaleCrop>
  <LinksUpToDate>false</LinksUpToDate>
  <CharactersWithSpaces>2424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2020-07-06T01:25:00Z</dcterms:created>
  <dc:creator>狐狸悄咪咪</dc:creator>
  <cp:lastModifiedBy>高泉忠</cp:lastModifiedBy>
  <dcterms:modified xsi:type="dcterms:W3CDTF">2024-06-28T01:18:09Z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DFD9206C0FCB4243AF2361BE18AC8834_13</vt:lpwstr>
  </property>
</Properties>
</file>