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olors1.xml" ContentType="application/vnd.ms-office.chartcolorstyle+xml"/>
  <Override PartName="/word/charts/style1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560" w:lineRule="exact"/>
        <w:rPr>
          <w:rFonts w:eastAsia="方正小标宋简体"/>
          <w:sz w:val="44"/>
          <w:szCs w:val="44"/>
        </w:rPr>
      </w:pPr>
    </w:p>
    <w:p>
      <w:pPr>
        <w:spacing w:line="560" w:lineRule="exact"/>
        <w:rPr>
          <w:rFonts w:eastAsia="方正小标宋简体"/>
          <w:sz w:val="44"/>
          <w:szCs w:val="44"/>
        </w:rPr>
      </w:pPr>
    </w:p>
    <w:p>
      <w:pPr>
        <w:spacing w:line="560" w:lineRule="exact"/>
        <w:rPr>
          <w:rFonts w:eastAsia="方正小标宋简体"/>
          <w:sz w:val="44"/>
          <w:szCs w:val="44"/>
        </w:rPr>
      </w:pPr>
    </w:p>
    <w:p>
      <w:pPr>
        <w:widowControl/>
        <w:shd w:val="clear" w:color="auto" w:fill="FFFFFF"/>
        <w:spacing w:before="120" w:line="560" w:lineRule="exact"/>
        <w:jc w:val="center"/>
        <w:rPr>
          <w:rFonts w:ascii="方正小标宋简体" w:hAnsi="宋体" w:eastAsia="方正小标宋简体" w:cs="宋体"/>
          <w:kern w:val="0"/>
          <w:sz w:val="44"/>
          <w:szCs w:val="44"/>
          <w:shd w:val="clear" w:color="auto" w:fill="FFFFFF"/>
        </w:rPr>
      </w:pPr>
      <w:r>
        <w:rPr>
          <w:rFonts w:hint="eastAsia" w:ascii="方正小标宋简体" w:hAnsi="宋体" w:eastAsia="方正小标宋简体" w:cs="宋体"/>
          <w:kern w:val="0"/>
          <w:sz w:val="44"/>
          <w:szCs w:val="44"/>
          <w:shd w:val="clear" w:color="auto" w:fill="FFFFFF"/>
        </w:rPr>
        <w:t>晋江市农业农村局2023年度政府信息</w:t>
      </w:r>
    </w:p>
    <w:p>
      <w:pPr>
        <w:widowControl/>
        <w:shd w:val="clear" w:color="auto" w:fill="FFFFFF"/>
        <w:spacing w:before="120" w:line="560" w:lineRule="exact"/>
        <w:jc w:val="center"/>
        <w:rPr>
          <w:rFonts w:ascii="方正小标宋简体" w:hAnsi="宋体" w:eastAsia="方正小标宋简体" w:cs="宋体"/>
          <w:kern w:val="0"/>
          <w:sz w:val="44"/>
          <w:szCs w:val="44"/>
          <w:shd w:val="clear" w:color="auto" w:fill="FFFFFF"/>
        </w:rPr>
      </w:pPr>
      <w:r>
        <w:rPr>
          <w:rFonts w:hint="eastAsia" w:ascii="方正小标宋简体" w:hAnsi="宋体" w:eastAsia="方正小标宋简体" w:cs="宋体"/>
          <w:kern w:val="0"/>
          <w:sz w:val="44"/>
          <w:szCs w:val="44"/>
          <w:shd w:val="clear" w:color="auto" w:fill="FFFFFF"/>
        </w:rPr>
        <w:t>公开工作年度报告</w:t>
      </w:r>
    </w:p>
    <w:p>
      <w:pPr>
        <w:widowControl/>
        <w:shd w:val="clear" w:color="auto" w:fill="FFFFFF"/>
        <w:spacing w:before="120" w:line="560" w:lineRule="exact"/>
        <w:jc w:val="center"/>
        <w:rPr>
          <w:rFonts w:ascii="方正小标宋简体" w:hAnsi="宋体" w:eastAsia="方正小标宋简体" w:cs="宋体"/>
          <w:kern w:val="0"/>
          <w:sz w:val="44"/>
          <w:szCs w:val="44"/>
          <w:shd w:val="clear" w:color="auto" w:fill="FFFFFF"/>
        </w:rPr>
      </w:pPr>
    </w:p>
    <w:p>
      <w:pPr>
        <w:pStyle w:val="13"/>
        <w:spacing w:before="120" w:beforeAutospacing="0" w:after="0" w:afterAutospacing="0" w:line="560" w:lineRule="exact"/>
        <w:ind w:firstLine="641"/>
        <w:jc w:val="both"/>
        <w:rPr>
          <w:rFonts w:ascii="Times New Roman" w:hAnsi="Times New Roman" w:eastAsia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hAnsi="微软雅黑" w:eastAsia="仿宋_GB2312" w:cs="仿宋_GB2312"/>
          <w:color w:val="000000"/>
          <w:sz w:val="32"/>
          <w:szCs w:val="32"/>
          <w:shd w:val="clear" w:color="auto" w:fill="FFFFFF"/>
        </w:rPr>
        <w:t>本报告根据《中华人民共和国政府信息公开条例》（以下简</w:t>
      </w:r>
      <w:r>
        <w:rPr>
          <w:rFonts w:ascii="Times New Roman" w:hAnsi="Times New Roman" w:eastAsia="仿宋_GB2312"/>
          <w:color w:val="000000"/>
          <w:sz w:val="32"/>
          <w:szCs w:val="32"/>
          <w:shd w:val="clear" w:color="auto" w:fill="FFFFFF"/>
        </w:rPr>
        <w:t>称《条例》）《中华人民共和国政府信息公开年度报告格式》规定，总结2023年政府信息公开工作情况。报告内容包括：总体情况、主动公开政府信息情况、收到和处理政府信息公开申请情况、政府信息公开行政复议、行政诉讼情况、存在的主要问题及改进情况和其他需要报告事项六部分内容组成，所使用数据统计期限为2023年1月1日至12月31日。本报告在“中国晋江”政府门户网站（http://www.jinjiang.gov.cn）政务公开栏目公布，如对本报告有任何疑问，请与晋江市农业农村局办公室联系（通讯地址：晋江市青阳街道新华街177号联系电话：0595-85622163；电子邮箱：</w:t>
      </w:r>
      <w:r>
        <w:fldChar w:fldCharType="begin"/>
      </w:r>
      <w:r>
        <w:instrText xml:space="preserve"> HYPERLINK "mailto:jjsnyncj@126.com" </w:instrText>
      </w:r>
      <w:r>
        <w:fldChar w:fldCharType="separate"/>
      </w:r>
      <w:r>
        <w:rPr>
          <w:rFonts w:ascii="Times New Roman" w:hAnsi="Times New Roman" w:eastAsia="仿宋_GB2312"/>
          <w:color w:val="000000"/>
          <w:sz w:val="32"/>
          <w:szCs w:val="32"/>
          <w:shd w:val="clear" w:color="auto" w:fill="FFFFFF"/>
        </w:rPr>
        <w:t>jjsnyncj@126.com</w:t>
      </w:r>
      <w:r>
        <w:rPr>
          <w:rFonts w:ascii="Times New Roman" w:hAnsi="Times New Roman" w:eastAsia="仿宋_GB2312"/>
          <w:color w:val="000000"/>
          <w:sz w:val="32"/>
          <w:szCs w:val="32"/>
          <w:shd w:val="clear" w:color="auto" w:fill="FFFFFF"/>
        </w:rPr>
        <w:fldChar w:fldCharType="end"/>
      </w:r>
      <w:r>
        <w:rPr>
          <w:rFonts w:ascii="Times New Roman" w:hAnsi="Times New Roman" w:eastAsia="仿宋_GB2312"/>
          <w:color w:val="000000"/>
          <w:sz w:val="32"/>
          <w:szCs w:val="32"/>
          <w:shd w:val="clear" w:color="auto" w:fill="FFFFFF"/>
        </w:rPr>
        <w:t>；传真：0595-82679696）。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黑体" w:eastAsia="仿宋_GB2312" w:cs="黑体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shd w:val="clear" w:color="auto" w:fill="FFFFFF"/>
          <w:lang w:eastAsia="zh-CN"/>
        </w:rPr>
        <w:t>一、</w:t>
      </w:r>
      <w:r>
        <w:rPr>
          <w:rFonts w:hint="eastAsia" w:ascii="黑体" w:hAnsi="黑体" w:eastAsia="黑体" w:cs="黑体"/>
          <w:color w:val="000000"/>
          <w:sz w:val="32"/>
          <w:szCs w:val="32"/>
          <w:shd w:val="clear" w:color="auto" w:fill="FFFFFF"/>
        </w:rPr>
        <w:t>总体情况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560" w:lineRule="exact"/>
        <w:ind w:firstLine="640" w:firstLineChars="200"/>
        <w:jc w:val="both"/>
        <w:textAlignment w:val="auto"/>
        <w:rPr>
          <w:rFonts w:hint="eastAsia" w:ascii="黑体" w:eastAsia="仿宋_GB2312" w:cs="黑体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</w:rPr>
        <w:t>2</w:t>
      </w:r>
      <w:r>
        <w:rPr>
          <w:rFonts w:ascii="Times New Roman" w:hAnsi="Times New Roman" w:eastAsia="仿宋_GB2312"/>
          <w:color w:val="000000"/>
          <w:sz w:val="32"/>
          <w:szCs w:val="32"/>
          <w:shd w:val="clear" w:color="auto" w:fill="FFFFFF"/>
        </w:rPr>
        <w:t>023年，</w:t>
      </w: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  <w:lang w:eastAsia="zh-CN"/>
        </w:rPr>
        <w:t>市农业农村局</w:t>
      </w:r>
      <w:r>
        <w:rPr>
          <w:rFonts w:ascii="Times New Roman" w:hAnsi="Times New Roman" w:eastAsia="仿宋_GB2312"/>
          <w:color w:val="000000"/>
          <w:sz w:val="32"/>
          <w:szCs w:val="32"/>
          <w:shd w:val="clear" w:color="auto" w:fill="FFFFFF"/>
        </w:rPr>
        <w:t>紧紧围绕农民群众关注的重大政策和农产品增产保供、农业安全生产等重点领域，切实加大信息公开力度</w:t>
      </w: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  <w:lang w:eastAsia="zh-CN"/>
        </w:rPr>
        <w:t>，通过多种途径主动公开政府信息，如通过“中国</w:t>
      </w: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  <w:lang w:val="en-US" w:eastAsia="zh-CN"/>
        </w:rPr>
        <w:t>·</w:t>
      </w: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  <w:lang w:eastAsia="zh-CN"/>
        </w:rPr>
        <w:t>晋江”门户网站、公众号等，深入拓展公开渠道，丰富公开形式，持续提升政府信息工作力度和实效，有力推动市农业农村工作发展，现将有关情况汇报如下：</w:t>
      </w:r>
    </w:p>
    <w:p>
      <w:pPr>
        <w:pStyle w:val="13"/>
        <w:spacing w:before="120" w:beforeAutospacing="0" w:after="0" w:afterAutospacing="0" w:line="560" w:lineRule="exact"/>
        <w:ind w:firstLine="640"/>
        <w:jc w:val="both"/>
        <w:rPr>
          <w:rFonts w:ascii="Times New Roman" w:hAnsi="Times New Roman" w:eastAsia="仿宋_GB2312"/>
          <w:color w:val="000000"/>
          <w:sz w:val="32"/>
          <w:szCs w:val="32"/>
          <w:shd w:val="clear" w:color="auto" w:fill="FFFFFF"/>
        </w:rPr>
      </w:pPr>
      <w:r>
        <w:rPr>
          <w:rFonts w:ascii="仿宋_GB2312" w:hAnsi="微软雅黑" w:eastAsia="仿宋_GB2312" w:cs="仿宋_GB2312"/>
          <w:b/>
          <w:bCs/>
          <w:color w:val="000000"/>
          <w:sz w:val="32"/>
          <w:szCs w:val="32"/>
          <w:shd w:val="clear" w:color="auto" w:fill="FFFFFF"/>
        </w:rPr>
        <w:t>（一</w:t>
      </w:r>
      <w:r>
        <w:rPr>
          <w:rFonts w:hint="eastAsia" w:ascii="仿宋_GB2312" w:hAnsi="微软雅黑" w:eastAsia="仿宋_GB2312" w:cs="仿宋_GB2312"/>
          <w:b/>
          <w:bCs/>
          <w:color w:val="000000"/>
          <w:sz w:val="32"/>
          <w:szCs w:val="32"/>
          <w:shd w:val="clear" w:color="auto" w:fill="FFFFFF"/>
        </w:rPr>
        <w:t>）</w:t>
      </w:r>
      <w:r>
        <w:rPr>
          <w:rFonts w:hint="eastAsia" w:ascii="仿宋_GB2312" w:hAnsi="微软雅黑" w:eastAsia="仿宋_GB2312" w:cs="仿宋_GB2312"/>
          <w:b/>
          <w:bCs/>
          <w:color w:val="000000"/>
          <w:sz w:val="32"/>
          <w:szCs w:val="32"/>
          <w:shd w:val="clear" w:color="auto" w:fill="FFFFFF"/>
          <w:lang w:eastAsia="zh-CN"/>
        </w:rPr>
        <w:t>主动公开情况。</w:t>
      </w: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  <w:lang w:eastAsia="zh-CN"/>
        </w:rPr>
        <w:t>晋江市农业农村局</w:t>
      </w:r>
      <w:r>
        <w:rPr>
          <w:rFonts w:ascii="Times New Roman" w:hAnsi="Times New Roman" w:eastAsia="仿宋_GB2312"/>
          <w:color w:val="000000"/>
          <w:sz w:val="32"/>
          <w:szCs w:val="32"/>
          <w:shd w:val="clear" w:color="auto" w:fill="FFFFFF"/>
        </w:rPr>
        <w:t>按照规定的主动公开信息范围，按要求发布或更新信息的主动公开文件56件，</w:t>
      </w: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  <w:lang w:eastAsia="zh-CN"/>
        </w:rPr>
        <w:t>其中机构职能类信息</w:t>
      </w: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  <w:lang w:val="en-US" w:eastAsia="zh-CN"/>
        </w:rPr>
        <w:t>2条，占3.6%；重大建设项目信息3条，占5.4%；民政扶贫救灾社会保障就业类信息22条，占39.3%；国土资源城乡建设环保能源类信息2条，占3.6%；科教文体卫生类信息20条，占35.7%；安全生产、应急管理类信息3条，占5.4%；其他类信息4条，占7%。</w:t>
      </w: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  <w:lang w:eastAsia="zh-CN"/>
        </w:rPr>
        <w:t>本年度本单位全年</w:t>
      </w:r>
      <w:r>
        <w:rPr>
          <w:rFonts w:ascii="Times New Roman" w:hAnsi="Times New Roman" w:eastAsia="仿宋_GB2312"/>
          <w:color w:val="000000"/>
          <w:sz w:val="32"/>
          <w:szCs w:val="32"/>
          <w:shd w:val="clear" w:color="auto" w:fill="FFFFFF"/>
        </w:rPr>
        <w:t>作出行政许可862件、行政处罚</w:t>
      </w:r>
      <w:r>
        <w:rPr>
          <w:rFonts w:ascii="Times New Roman" w:hAnsi="Times New Roman" w:eastAsia="仿宋_GB2312"/>
          <w:sz w:val="32"/>
          <w:szCs w:val="32"/>
          <w:shd w:val="clear" w:color="auto" w:fill="FFFFFF"/>
        </w:rPr>
        <w:t>22</w:t>
      </w:r>
      <w:r>
        <w:rPr>
          <w:rFonts w:ascii="Times New Roman" w:hAnsi="Times New Roman" w:eastAsia="仿宋_GB2312"/>
          <w:color w:val="000000"/>
          <w:sz w:val="32"/>
          <w:szCs w:val="32"/>
          <w:shd w:val="clear" w:color="auto" w:fill="FFFFFF"/>
        </w:rPr>
        <w:t>件</w:t>
      </w: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  <w:lang w:eastAsia="zh-CN"/>
        </w:rPr>
        <w:t>；</w:t>
      </w:r>
      <w:r>
        <w:rPr>
          <w:rFonts w:ascii="Times New Roman" w:hAnsi="Times New Roman" w:eastAsia="仿宋_GB2312"/>
          <w:color w:val="000000"/>
          <w:sz w:val="32"/>
          <w:szCs w:val="32"/>
          <w:shd w:val="clear" w:color="auto" w:fill="FFFFFF"/>
        </w:rPr>
        <w:t>规范有序开展人大代表建议、政协提案办理结果公开工作，本年度办理人大建议29个，政协提案</w:t>
      </w:r>
      <w:r>
        <w:rPr>
          <w:rFonts w:ascii="Times New Roman" w:hAnsi="Times New Roman" w:eastAsia="仿宋_GB2312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37</w:t>
      </w:r>
      <w:r>
        <w:rPr>
          <w:rFonts w:ascii="Times New Roman" w:hAnsi="Times New Roman" w:eastAsia="仿宋_GB2312"/>
          <w:color w:val="000000"/>
          <w:sz w:val="32"/>
          <w:szCs w:val="32"/>
          <w:shd w:val="clear" w:color="auto" w:fill="FFFFFF"/>
        </w:rPr>
        <w:t>个，答复率和满意率100%。</w:t>
      </w:r>
    </w:p>
    <w:p>
      <w:pPr>
        <w:pStyle w:val="13"/>
        <w:spacing w:before="120" w:beforeAutospacing="0" w:after="0" w:afterAutospacing="0" w:line="560" w:lineRule="exact"/>
        <w:ind w:firstLine="640" w:firstLineChars="200"/>
        <w:jc w:val="both"/>
        <w:rPr>
          <w:rFonts w:ascii="Times New Roman" w:hAnsi="Times New Roman" w:eastAsia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772795</wp:posOffset>
            </wp:positionH>
            <wp:positionV relativeFrom="paragraph">
              <wp:posOffset>153035</wp:posOffset>
            </wp:positionV>
            <wp:extent cx="4033520" cy="2514600"/>
            <wp:effectExtent l="4445" t="5080" r="19685" b="13970"/>
            <wp:wrapNone/>
            <wp:docPr id="4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anchor>
        </w:drawing>
      </w:r>
    </w:p>
    <w:p>
      <w:pPr>
        <w:pStyle w:val="13"/>
        <w:spacing w:before="120" w:beforeAutospacing="0" w:after="0" w:afterAutospacing="0" w:line="560" w:lineRule="exact"/>
        <w:ind w:firstLine="640" w:firstLineChars="200"/>
        <w:jc w:val="both"/>
        <w:rPr>
          <w:rFonts w:ascii="Times New Roman" w:hAnsi="Times New Roman" w:eastAsia="仿宋_GB2312"/>
          <w:color w:val="000000"/>
          <w:sz w:val="32"/>
          <w:szCs w:val="32"/>
          <w:shd w:val="clear" w:color="auto" w:fill="FFFFFF"/>
        </w:rPr>
      </w:pPr>
    </w:p>
    <w:p>
      <w:pPr>
        <w:pStyle w:val="13"/>
        <w:spacing w:before="120" w:beforeAutospacing="0" w:after="0" w:afterAutospacing="0" w:line="560" w:lineRule="exact"/>
        <w:ind w:firstLine="640" w:firstLineChars="200"/>
        <w:jc w:val="both"/>
        <w:rPr>
          <w:rFonts w:hint="default" w:ascii="Times New Roman" w:hAnsi="Times New Roman" w:eastAsia="仿宋_GB2312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  <w:lang w:val="en-US" w:eastAsia="zh-CN"/>
        </w:rPr>
        <w:t xml:space="preserve">  </w:t>
      </w:r>
    </w:p>
    <w:p>
      <w:pPr>
        <w:pStyle w:val="13"/>
        <w:spacing w:before="120" w:beforeAutospacing="0" w:after="0" w:afterAutospacing="0" w:line="560" w:lineRule="exact"/>
        <w:ind w:firstLine="640" w:firstLineChars="200"/>
        <w:jc w:val="both"/>
        <w:rPr>
          <w:rFonts w:hint="default" w:ascii="Times New Roman" w:hAnsi="Times New Roman" w:eastAsia="仿宋_GB2312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  <w:lang w:val="en-US" w:eastAsia="zh-CN"/>
        </w:rPr>
        <w:t xml:space="preserve">  </w:t>
      </w:r>
    </w:p>
    <w:p>
      <w:pPr>
        <w:pStyle w:val="13"/>
        <w:spacing w:before="120" w:beforeAutospacing="0" w:after="0" w:afterAutospacing="0" w:line="560" w:lineRule="exact"/>
        <w:ind w:firstLine="640" w:firstLineChars="200"/>
        <w:jc w:val="both"/>
        <w:rPr>
          <w:rFonts w:ascii="Times New Roman" w:hAnsi="Times New Roman" w:eastAsia="仿宋_GB2312"/>
          <w:color w:val="000000"/>
          <w:sz w:val="32"/>
          <w:szCs w:val="32"/>
          <w:shd w:val="clear" w:color="auto" w:fill="FFFFFF"/>
        </w:rPr>
      </w:pPr>
    </w:p>
    <w:p>
      <w:pPr>
        <w:pStyle w:val="13"/>
        <w:spacing w:before="120" w:beforeAutospacing="0" w:after="0" w:afterAutospacing="0" w:line="560" w:lineRule="exact"/>
        <w:ind w:firstLine="640" w:firstLineChars="200"/>
        <w:jc w:val="both"/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  <w:lang w:val="en-US" w:eastAsia="zh-CN"/>
        </w:rPr>
      </w:pPr>
    </w:p>
    <w:p>
      <w:pPr>
        <w:pStyle w:val="13"/>
        <w:spacing w:before="120" w:beforeAutospacing="0" w:after="0" w:afterAutospacing="0" w:line="560" w:lineRule="exact"/>
        <w:ind w:firstLine="640" w:firstLineChars="200"/>
        <w:jc w:val="both"/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  <w:lang w:eastAsia="zh-CN"/>
        </w:rPr>
      </w:pPr>
      <w:r>
        <w:rPr>
          <w:rFonts w:ascii="Times New Roman" w:hAnsi="Times New Roman" w:eastAsia="仿宋_GB2312"/>
          <w:color w:val="000000"/>
          <w:sz w:val="32"/>
          <w:szCs w:val="32"/>
          <w:shd w:val="clear" w:color="auto" w:fill="FFFFFF"/>
        </w:rPr>
        <w:t>严格落实拟公开的政府信息审核、发布和更新机制，并由专人负责信息审核和发布，进一步做好政府信息规范管理。加强行政规范性文件专栏管理，对行政规范性文件的有效性进行核对调整</w:t>
      </w: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  <w:lang w:eastAsia="zh-CN"/>
        </w:rPr>
        <w:t>，保障公开信息的有效性</w:t>
      </w:r>
      <w:r>
        <w:rPr>
          <w:rFonts w:ascii="Times New Roman" w:hAnsi="Times New Roman" w:eastAsia="仿宋_GB2312"/>
          <w:color w:val="000000"/>
          <w:sz w:val="32"/>
          <w:szCs w:val="32"/>
          <w:shd w:val="clear" w:color="auto" w:fill="FFFFFF"/>
        </w:rPr>
        <w:t>。2023年废止行政规范性文件2件，制发行政规范性文件5件，现行制度文件14件并同步发布政策解读</w:t>
      </w: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  <w:lang w:eastAsia="zh-CN"/>
        </w:rPr>
        <w:t>。</w:t>
      </w:r>
    </w:p>
    <w:p>
      <w:pPr>
        <w:pStyle w:val="13"/>
        <w:spacing w:before="120" w:beforeAutospacing="0" w:after="0" w:afterAutospacing="0" w:line="560" w:lineRule="exact"/>
        <w:ind w:firstLine="640"/>
        <w:jc w:val="both"/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仿宋_GB2312"/>
          <w:b/>
          <w:bCs/>
          <w:color w:val="000000"/>
          <w:sz w:val="32"/>
          <w:szCs w:val="32"/>
          <w:shd w:val="clear" w:color="auto" w:fill="FFFFFF"/>
          <w:lang w:eastAsia="zh-CN"/>
        </w:rPr>
        <w:t>（二）依申请公开情况。</w:t>
      </w:r>
      <w:r>
        <w:rPr>
          <w:rFonts w:ascii="Times New Roman" w:hAnsi="Times New Roman" w:eastAsia="仿宋_GB2312"/>
          <w:color w:val="000000"/>
          <w:sz w:val="32"/>
          <w:szCs w:val="32"/>
          <w:shd w:val="clear" w:color="auto" w:fill="FFFFFF"/>
        </w:rPr>
        <w:t>本年度共收到依申请公开11</w:t>
      </w: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  <w:lang w:eastAsia="zh-CN"/>
        </w:rPr>
        <w:t>件</w:t>
      </w:r>
      <w:r>
        <w:rPr>
          <w:rFonts w:ascii="Times New Roman" w:hAnsi="Times New Roman" w:eastAsia="仿宋_GB2312"/>
          <w:color w:val="000000"/>
          <w:sz w:val="32"/>
          <w:szCs w:val="32"/>
          <w:shd w:val="clear" w:color="auto" w:fill="FFFFFF"/>
        </w:rPr>
        <w:t>，</w:t>
      </w: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  <w:lang w:eastAsia="zh-CN"/>
        </w:rPr>
        <w:t>从申请方式看，网络申请</w:t>
      </w: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  <w:lang w:val="en-US" w:eastAsia="zh-CN"/>
        </w:rPr>
        <w:t>8件，占73%，</w:t>
      </w: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  <w:lang w:eastAsia="zh-CN"/>
        </w:rPr>
        <w:t>当面申请</w:t>
      </w: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  <w:lang w:val="en-US" w:eastAsia="zh-CN"/>
        </w:rPr>
        <w:t>2件，占18%，</w:t>
      </w: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  <w:lang w:eastAsia="zh-CN"/>
        </w:rPr>
        <w:t>，</w:t>
      </w: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  <w:lang w:val="en-US" w:eastAsia="zh-CN"/>
        </w:rPr>
        <w:t>信函申请1件，占9%，</w:t>
      </w: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  <w:lang w:eastAsia="zh-CN"/>
        </w:rPr>
        <w:t>已全部在规定期限内向申请人答复告知。本年度本单位全年没有因政府信息公开原因提起</w:t>
      </w:r>
      <w:r>
        <w:rPr>
          <w:rFonts w:ascii="Times New Roman" w:hAnsi="Times New Roman" w:eastAsia="仿宋_GB2312"/>
          <w:color w:val="000000"/>
          <w:sz w:val="32"/>
          <w:szCs w:val="32"/>
          <w:shd w:val="clear" w:color="auto" w:fill="FFFFFF"/>
        </w:rPr>
        <w:t>行政复议、行政诉讼</w:t>
      </w: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  <w:lang w:eastAsia="zh-CN"/>
        </w:rPr>
        <w:t>情况。</w:t>
      </w:r>
    </w:p>
    <w:p>
      <w:pPr>
        <w:pStyle w:val="13"/>
        <w:numPr>
          <w:ilvl w:val="0"/>
          <w:numId w:val="0"/>
        </w:numPr>
        <w:spacing w:before="120" w:beforeAutospacing="0" w:after="0" w:afterAutospacing="0" w:line="560" w:lineRule="exact"/>
        <w:ind w:firstLine="643" w:firstLineChars="200"/>
        <w:jc w:val="both"/>
        <w:rPr>
          <w:rFonts w:ascii="Times New Roman" w:hAnsi="Times New Roman" w:eastAsia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Times New Roman" w:hAnsi="Times New Roman" w:eastAsia="仿宋_GB2312"/>
          <w:b/>
          <w:bCs/>
          <w:color w:val="000000"/>
          <w:sz w:val="32"/>
          <w:szCs w:val="32"/>
          <w:shd w:val="clear" w:color="auto" w:fill="FFFFFF"/>
          <w:lang w:eastAsia="zh-CN"/>
        </w:rPr>
        <w:t>（三）政府信息管理情况。</w:t>
      </w: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  <w:lang w:val="en-US" w:eastAsia="zh-CN"/>
        </w:rPr>
        <w:t>根据职责分工及时调整了政务公开小组成员，积极发挥作用，</w:t>
      </w:r>
      <w:r>
        <w:rPr>
          <w:rFonts w:ascii="Times New Roman" w:hAnsi="Times New Roman" w:eastAsia="仿宋_GB2312"/>
          <w:color w:val="000000"/>
          <w:sz w:val="32"/>
          <w:szCs w:val="32"/>
          <w:shd w:val="clear" w:color="auto" w:fill="FFFFFF"/>
        </w:rPr>
        <w:t>加强组织领导。根据人员变动情况，及时调整充实了局政府信息公开工作领导小组成员。把政务公开工作纳入重点工作中，与其他工作同部署、同考核，领导小组多次召开专题会议研究、部署并组织开展政务公开工作。</w:t>
      </w:r>
    </w:p>
    <w:p>
      <w:pPr>
        <w:pStyle w:val="13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beforeAutospacing="0" w:after="0" w:afterAutospacing="0" w:line="560" w:lineRule="exact"/>
        <w:ind w:firstLine="643" w:firstLineChars="200"/>
        <w:jc w:val="both"/>
        <w:textAlignment w:val="auto"/>
        <w:rPr>
          <w:rFonts w:hint="default" w:ascii="Times New Roman" w:hAnsi="Times New Roman" w:eastAsia="仿宋_GB2312"/>
          <w:b/>
          <w:bCs/>
          <w:color w:val="000000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仿宋_GB2312"/>
          <w:b/>
          <w:bCs/>
          <w:color w:val="000000"/>
          <w:spacing w:val="0"/>
          <w:sz w:val="32"/>
          <w:szCs w:val="32"/>
          <w:shd w:val="clear" w:color="auto" w:fill="FFFFFF"/>
          <w:lang w:eastAsia="zh-CN"/>
        </w:rPr>
        <w:t>政府信息公开平台建设情况。</w:t>
      </w:r>
      <w:r>
        <w:rPr>
          <w:rFonts w:hint="eastAsia" w:ascii="Times New Roman" w:hAnsi="Times New Roman" w:eastAsia="仿宋_GB2312"/>
          <w:b w:val="0"/>
          <w:bCs w:val="0"/>
          <w:color w:val="000000"/>
          <w:spacing w:val="0"/>
          <w:sz w:val="32"/>
          <w:szCs w:val="32"/>
          <w:shd w:val="clear" w:color="auto" w:fill="FFFFFF"/>
          <w:lang w:val="en-US" w:eastAsia="zh-CN"/>
        </w:rPr>
        <w:t>我局结合工作实际，向社会广泛公开涉农补贴、渔业发展补助、海洋渔业资源养护补贴等，着力创新信息公开的载体形式，不断拓宽信息公开范围，按时做好政府门户网站信息更新，及时发布各类信息。</w:t>
      </w:r>
    </w:p>
    <w:p>
      <w:pPr>
        <w:pStyle w:val="13"/>
        <w:spacing w:before="120" w:beforeAutospacing="0" w:after="0" w:afterAutospacing="0" w:line="560" w:lineRule="exact"/>
        <w:ind w:firstLine="672" w:firstLineChars="20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8"/>
          <w:kern w:val="0"/>
          <w:sz w:val="32"/>
          <w:szCs w:val="32"/>
          <w:u w:val="none"/>
          <w:shd w:val="clear" w:color="auto" w:fill="auto"/>
          <w:lang w:val="en-US" w:eastAsia="zh-CN" w:bidi="ar"/>
        </w:rPr>
      </w:pPr>
    </w:p>
    <w:p>
      <w:pPr>
        <w:pStyle w:val="13"/>
        <w:spacing w:before="120" w:beforeAutospacing="0" w:after="0" w:afterAutospacing="0"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8"/>
          <w:kern w:val="0"/>
          <w:sz w:val="32"/>
          <w:szCs w:val="32"/>
          <w:u w:val="none"/>
          <w:shd w:val="clear" w:color="auto" w:fill="auto"/>
          <w:lang w:val="en-US" w:eastAsia="zh-CN" w:bidi="ar"/>
        </w:rPr>
      </w:pP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3625850</wp:posOffset>
            </wp:positionH>
            <wp:positionV relativeFrom="paragraph">
              <wp:posOffset>45085</wp:posOffset>
            </wp:positionV>
            <wp:extent cx="1981200" cy="2964180"/>
            <wp:effectExtent l="0" t="0" r="0" b="7620"/>
            <wp:wrapNone/>
            <wp:docPr id="5" name="图片 5" descr="微信图片_2024032015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3201525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/>
          <w:color w:val="000000"/>
          <w:sz w:val="32"/>
          <w:szCs w:val="32"/>
          <w:shd w:val="clear" w:color="auto" w:fill="FFFFFF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46355</wp:posOffset>
            </wp:positionV>
            <wp:extent cx="3743960" cy="2968625"/>
            <wp:effectExtent l="0" t="0" r="8890" b="3175"/>
            <wp:wrapNone/>
            <wp:docPr id="2" name="图片 2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捕获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396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3"/>
        <w:spacing w:before="120" w:beforeAutospacing="0" w:after="0" w:afterAutospacing="0" w:line="560" w:lineRule="exact"/>
        <w:ind w:firstLine="672" w:firstLineChars="20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8"/>
          <w:kern w:val="0"/>
          <w:sz w:val="32"/>
          <w:szCs w:val="32"/>
          <w:u w:val="none"/>
          <w:shd w:val="clear" w:color="auto" w:fill="auto"/>
          <w:lang w:val="en-US" w:eastAsia="zh-CN" w:bidi="ar"/>
        </w:rPr>
      </w:pPr>
    </w:p>
    <w:p>
      <w:pPr>
        <w:pStyle w:val="13"/>
        <w:spacing w:before="120" w:beforeAutospacing="0" w:after="0" w:afterAutospacing="0" w:line="560" w:lineRule="exact"/>
        <w:ind w:firstLine="672" w:firstLineChars="20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8"/>
          <w:kern w:val="0"/>
          <w:sz w:val="32"/>
          <w:szCs w:val="32"/>
          <w:u w:val="none"/>
          <w:shd w:val="clear" w:color="auto" w:fill="auto"/>
          <w:lang w:val="en-US" w:eastAsia="zh-CN" w:bidi="ar"/>
        </w:rPr>
      </w:pPr>
    </w:p>
    <w:p>
      <w:pPr>
        <w:pStyle w:val="13"/>
        <w:spacing w:before="120" w:beforeAutospacing="0" w:after="0" w:afterAutospacing="0" w:line="560" w:lineRule="exact"/>
        <w:ind w:firstLine="672" w:firstLineChars="20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8"/>
          <w:kern w:val="0"/>
          <w:sz w:val="32"/>
          <w:szCs w:val="32"/>
          <w:u w:val="none"/>
          <w:shd w:val="clear" w:color="auto" w:fill="auto"/>
          <w:lang w:val="en-US" w:eastAsia="zh-CN" w:bidi="ar"/>
        </w:rPr>
      </w:pPr>
    </w:p>
    <w:p>
      <w:pPr>
        <w:pStyle w:val="13"/>
        <w:spacing w:before="120" w:beforeAutospacing="0" w:after="0" w:afterAutospacing="0" w:line="560" w:lineRule="exact"/>
        <w:ind w:firstLine="672" w:firstLineChars="20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8"/>
          <w:kern w:val="0"/>
          <w:sz w:val="32"/>
          <w:szCs w:val="32"/>
          <w:u w:val="none"/>
          <w:shd w:val="clear" w:color="auto" w:fill="auto"/>
          <w:lang w:val="en-US" w:eastAsia="zh-CN" w:bidi="ar"/>
        </w:rPr>
      </w:pPr>
    </w:p>
    <w:p>
      <w:pPr>
        <w:pStyle w:val="13"/>
        <w:spacing w:before="120" w:beforeAutospacing="0" w:after="0" w:afterAutospacing="0" w:line="560" w:lineRule="exact"/>
        <w:ind w:firstLine="672" w:firstLineChars="200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8"/>
          <w:kern w:val="0"/>
          <w:sz w:val="32"/>
          <w:szCs w:val="32"/>
          <w:u w:val="none"/>
          <w:shd w:val="clear" w:color="auto" w:fill="auto"/>
          <w:lang w:val="en-US" w:eastAsia="zh-CN" w:bidi="ar"/>
        </w:rPr>
      </w:pPr>
    </w:p>
    <w:p>
      <w:pPr>
        <w:pStyle w:val="13"/>
        <w:spacing w:before="120" w:beforeAutospacing="0" w:after="0" w:afterAutospacing="0" w:line="560" w:lineRule="exact"/>
        <w:jc w:val="both"/>
        <w:rPr>
          <w:rFonts w:hint="eastAsia" w:ascii="仿宋_GB2312" w:hAnsi="仿宋_GB2312" w:eastAsia="仿宋_GB2312" w:cs="仿宋_GB2312"/>
          <w:i w:val="0"/>
          <w:caps w:val="0"/>
          <w:color w:val="auto"/>
          <w:spacing w:val="8"/>
          <w:kern w:val="0"/>
          <w:sz w:val="32"/>
          <w:szCs w:val="32"/>
          <w:u w:val="none"/>
          <w:shd w:val="clear" w:color="auto" w:fill="auto"/>
          <w:lang w:val="en-US" w:eastAsia="zh-CN" w:bidi="ar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640" w:firstLineChars="200"/>
        <w:jc w:val="left"/>
        <w:textAlignment w:val="auto"/>
        <w:rPr>
          <w:rFonts w:hint="eastAsia" w:ascii="仿宋_GB2312" w:hAnsi="仿宋_GB2312" w:cs="仿宋_GB2312"/>
          <w:color w:val="121212"/>
          <w:spacing w:val="0"/>
          <w:sz w:val="32"/>
          <w:szCs w:val="32"/>
          <w:shd w:val="clear" w:color="auto" w:fill="auto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shd w:val="clear" w:color="auto" w:fill="auto"/>
        </w:rPr>
      </w:pPr>
      <w:r>
        <w:rPr>
          <w:rFonts w:hint="eastAsia" w:ascii="仿宋_GB2312" w:hAnsi="仿宋_GB2312" w:cs="仿宋_GB2312"/>
          <w:color w:val="121212"/>
          <w:spacing w:val="0"/>
          <w:sz w:val="32"/>
          <w:szCs w:val="32"/>
          <w:shd w:val="clear" w:color="auto" w:fill="auto"/>
          <w:lang w:eastAsia="zh-CN"/>
        </w:rPr>
        <w:t>统筹运用线下培训形式，多渠道传播，规范开展政策解</w:t>
      </w:r>
      <w:r>
        <w:rPr>
          <w:rFonts w:hint="default" w:ascii="Times New Roman" w:hAnsi="Times New Roman" w:cs="Times New Roman"/>
          <w:color w:val="121212"/>
          <w:spacing w:val="0"/>
          <w:sz w:val="32"/>
          <w:szCs w:val="32"/>
          <w:shd w:val="clear" w:color="auto" w:fill="auto"/>
          <w:lang w:eastAsia="zh-CN"/>
        </w:rPr>
        <w:t>读，</w:t>
      </w:r>
      <w:r>
        <w:rPr>
          <w:rFonts w:hint="eastAsia" w:cs="Times New Roman"/>
          <w:color w:val="121212"/>
          <w:spacing w:val="0"/>
          <w:sz w:val="32"/>
          <w:szCs w:val="32"/>
          <w:shd w:val="clear" w:color="auto" w:fill="auto"/>
          <w:lang w:eastAsia="zh-CN"/>
        </w:rPr>
        <w:t>扩大政府信息公开的影响力和感染力。</w:t>
      </w:r>
      <w:r>
        <w:rPr>
          <w:rFonts w:hint="default" w:ascii="Times New Roman" w:hAnsi="Times New Roman" w:eastAsia="仿宋_GB2312" w:cs="Times New Roman"/>
          <w:color w:val="121212"/>
          <w:spacing w:val="0"/>
          <w:sz w:val="32"/>
          <w:szCs w:val="32"/>
          <w:shd w:val="clear" w:color="auto" w:fill="auto"/>
          <w:lang w:eastAsia="zh-CN"/>
        </w:rPr>
        <w:t>2023年11月2日</w:t>
      </w:r>
      <w:r>
        <w:rPr>
          <w:rFonts w:hint="default" w:ascii="Times New Roman" w:hAnsi="Times New Roman" w:eastAsia="仿宋_GB2312" w:cs="Times New Roman"/>
          <w:i w:val="0"/>
          <w:caps w:val="0"/>
          <w:color w:val="191919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"/>
        </w:rPr>
        <w:t>，晋江市2023年第24期高素质农民培训班（农旅融合与乡村旅游）成功举办，对扶农政策进行宣讲。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15"/>
          <w:kern w:val="0"/>
          <w:sz w:val="32"/>
          <w:szCs w:val="32"/>
          <w:u w:val="none"/>
          <w:shd w:val="clear" w:color="auto" w:fill="auto"/>
          <w:lang w:val="en-US" w:eastAsia="zh-CN" w:bidi="ar"/>
        </w:rPr>
        <w:t>为进一步优化营商环境，激发农业市场主体活力，推动法治乡村建设，助力乡村振兴</w:t>
      </w:r>
      <w:r>
        <w:rPr>
          <w:rFonts w:hint="default" w:ascii="Times New Roman" w:hAnsi="Times New Roman" w:eastAsia="仿宋_GB2312" w:cs="Times New Roman"/>
          <w:i w:val="0"/>
          <w:caps w:val="0"/>
          <w:color w:val="auto"/>
          <w:spacing w:val="15"/>
          <w:kern w:val="0"/>
          <w:sz w:val="32"/>
          <w:szCs w:val="32"/>
          <w:u w:val="none"/>
          <w:shd w:val="clear" w:color="auto" w:fill="auto"/>
          <w:lang w:val="en-US" w:eastAsia="zh-CN" w:bidi="ar"/>
        </w:rPr>
        <w:t>，12月14日上午，2023年晋</w:t>
      </w: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15"/>
          <w:kern w:val="0"/>
          <w:sz w:val="32"/>
          <w:szCs w:val="32"/>
          <w:u w:val="none"/>
          <w:shd w:val="clear" w:color="auto" w:fill="auto"/>
          <w:lang w:val="en-US" w:eastAsia="zh-CN" w:bidi="ar"/>
        </w:rPr>
        <w:t>江市农村学法用法示范户培训班在内坑镇张坑村开班，对《民法典进农村》、水稻种植与粮食安全、新型职业农民生涯规划等政策进行宣讲。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spacing w:val="0"/>
          <w:sz w:val="32"/>
          <w:szCs w:val="32"/>
          <w:shd w:val="clear" w:color="auto" w:fill="auto"/>
        </w:rPr>
      </w:pPr>
      <w:r>
        <w:rPr>
          <w:rFonts w:hint="eastAsia" w:ascii="仿宋_GB2312" w:hAnsi="仿宋_GB2312" w:eastAsia="仿宋_GB2312" w:cs="仿宋_GB2312"/>
          <w:color w:val="121212"/>
          <w:sz w:val="32"/>
          <w:szCs w:val="32"/>
          <w:shd w:val="clear" w:color="auto" w:fill="auto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108585</wp:posOffset>
            </wp:positionV>
            <wp:extent cx="4845685" cy="2214880"/>
            <wp:effectExtent l="0" t="0" r="12065" b="13970"/>
            <wp:wrapNone/>
            <wp:docPr id="8" name="图片 8" descr="2024-03-19 10:12:16.68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4-03-19 10:12:16.6860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5685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3"/>
        <w:numPr>
          <w:ilvl w:val="0"/>
          <w:numId w:val="0"/>
        </w:numPr>
        <w:spacing w:before="120" w:beforeAutospacing="0" w:after="0" w:afterAutospacing="0" w:line="560" w:lineRule="exact"/>
        <w:jc w:val="both"/>
        <w:rPr>
          <w:rFonts w:hint="eastAsia" w:ascii="Times New Roman" w:hAnsi="Times New Roman" w:eastAsia="仿宋_GB2312"/>
          <w:b/>
          <w:bCs/>
          <w:color w:val="000000"/>
          <w:sz w:val="32"/>
          <w:szCs w:val="32"/>
          <w:shd w:val="clear" w:color="auto" w:fill="FFFFFF"/>
          <w:lang w:val="en-US" w:eastAsia="zh-CN"/>
        </w:rPr>
      </w:pPr>
    </w:p>
    <w:p>
      <w:pPr>
        <w:pStyle w:val="13"/>
        <w:numPr>
          <w:ilvl w:val="0"/>
          <w:numId w:val="0"/>
        </w:numPr>
        <w:spacing w:before="120" w:beforeAutospacing="0" w:after="0" w:afterAutospacing="0" w:line="560" w:lineRule="exact"/>
        <w:jc w:val="both"/>
        <w:rPr>
          <w:rFonts w:hint="eastAsia" w:ascii="Times New Roman" w:hAnsi="Times New Roman" w:eastAsia="仿宋_GB2312"/>
          <w:b/>
          <w:bCs/>
          <w:color w:val="000000"/>
          <w:sz w:val="32"/>
          <w:szCs w:val="32"/>
          <w:shd w:val="clear" w:color="auto" w:fill="FFFFFF"/>
          <w:lang w:val="en-US" w:eastAsia="zh-CN"/>
        </w:rPr>
      </w:pPr>
    </w:p>
    <w:p>
      <w:pPr>
        <w:pStyle w:val="13"/>
        <w:numPr>
          <w:ilvl w:val="0"/>
          <w:numId w:val="0"/>
        </w:numPr>
        <w:spacing w:before="120" w:beforeAutospacing="0" w:after="0" w:afterAutospacing="0" w:line="560" w:lineRule="exact"/>
        <w:jc w:val="both"/>
        <w:rPr>
          <w:rFonts w:hint="eastAsia" w:ascii="Times New Roman" w:hAnsi="Times New Roman" w:eastAsia="仿宋_GB2312"/>
          <w:b/>
          <w:bCs/>
          <w:color w:val="000000"/>
          <w:sz w:val="32"/>
          <w:szCs w:val="32"/>
          <w:shd w:val="clear" w:color="auto" w:fill="FFFFFF"/>
          <w:lang w:val="en-US" w:eastAsia="zh-CN"/>
        </w:rPr>
      </w:pPr>
    </w:p>
    <w:p>
      <w:pPr>
        <w:pStyle w:val="13"/>
        <w:numPr>
          <w:ilvl w:val="0"/>
          <w:numId w:val="0"/>
        </w:numPr>
        <w:spacing w:before="120" w:beforeAutospacing="0" w:after="0" w:afterAutospacing="0" w:line="560" w:lineRule="exact"/>
        <w:jc w:val="both"/>
        <w:rPr>
          <w:rFonts w:hint="eastAsia" w:ascii="Times New Roman" w:hAnsi="Times New Roman" w:eastAsia="仿宋_GB2312"/>
          <w:b/>
          <w:bCs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121212"/>
          <w:sz w:val="32"/>
          <w:szCs w:val="32"/>
          <w:shd w:val="clear" w:color="auto" w:fill="auto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958850</wp:posOffset>
            </wp:positionH>
            <wp:positionV relativeFrom="paragraph">
              <wp:posOffset>1856105</wp:posOffset>
            </wp:positionV>
            <wp:extent cx="3301365" cy="2260600"/>
            <wp:effectExtent l="0" t="0" r="13335" b="6350"/>
            <wp:wrapNone/>
            <wp:docPr id="6" name="图片 6" descr="2024-03-19 10:12:16.75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4-03-19 10:12:16.7530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1365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3"/>
        <w:numPr>
          <w:ilvl w:val="0"/>
          <w:numId w:val="0"/>
        </w:numPr>
        <w:spacing w:before="120" w:beforeAutospacing="0" w:after="0" w:afterAutospacing="0" w:line="560" w:lineRule="exact"/>
        <w:jc w:val="both"/>
        <w:rPr>
          <w:rFonts w:hint="eastAsia" w:ascii="Times New Roman" w:hAnsi="Times New Roman" w:eastAsia="仿宋_GB2312"/>
          <w:b/>
          <w:bCs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121212"/>
          <w:sz w:val="32"/>
          <w:szCs w:val="32"/>
          <w:shd w:val="clear" w:color="auto" w:fill="auto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67945</wp:posOffset>
            </wp:positionV>
            <wp:extent cx="4742180" cy="3094355"/>
            <wp:effectExtent l="0" t="0" r="1270" b="10795"/>
            <wp:wrapNone/>
            <wp:docPr id="9" name="图片 9" descr="2024-03-19 10:12:16.75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4-03-19 10:12:16.753000"/>
                    <pic:cNvPicPr>
                      <a:picLocks noChangeAspect="1"/>
                    </pic:cNvPicPr>
                  </pic:nvPicPr>
                  <pic:blipFill>
                    <a:blip r:embed="rId11"/>
                    <a:srcRect t="4694"/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3"/>
        <w:numPr>
          <w:ilvl w:val="0"/>
          <w:numId w:val="0"/>
        </w:numPr>
        <w:spacing w:before="120" w:beforeAutospacing="0" w:after="0" w:afterAutospacing="0" w:line="560" w:lineRule="exact"/>
        <w:jc w:val="both"/>
        <w:rPr>
          <w:rFonts w:hint="eastAsia" w:ascii="Times New Roman" w:hAnsi="Times New Roman" w:eastAsia="仿宋_GB2312"/>
          <w:b/>
          <w:bCs/>
          <w:color w:val="000000"/>
          <w:sz w:val="32"/>
          <w:szCs w:val="32"/>
          <w:shd w:val="clear" w:color="auto" w:fill="FFFFFF"/>
          <w:lang w:val="en-US" w:eastAsia="zh-CN"/>
        </w:rPr>
      </w:pPr>
    </w:p>
    <w:p>
      <w:pPr>
        <w:pStyle w:val="13"/>
        <w:numPr>
          <w:ilvl w:val="0"/>
          <w:numId w:val="0"/>
        </w:numPr>
        <w:spacing w:before="120" w:beforeAutospacing="0" w:after="0" w:afterAutospacing="0" w:line="560" w:lineRule="exact"/>
        <w:jc w:val="both"/>
        <w:rPr>
          <w:rFonts w:hint="eastAsia" w:ascii="Times New Roman" w:hAnsi="Times New Roman" w:eastAsia="仿宋_GB2312"/>
          <w:b/>
          <w:bCs/>
          <w:color w:val="000000"/>
          <w:sz w:val="32"/>
          <w:szCs w:val="32"/>
          <w:shd w:val="clear" w:color="auto" w:fill="FFFFFF"/>
          <w:lang w:val="en-US" w:eastAsia="zh-CN"/>
        </w:rPr>
      </w:pPr>
    </w:p>
    <w:p>
      <w:pPr>
        <w:pStyle w:val="13"/>
        <w:numPr>
          <w:ilvl w:val="0"/>
          <w:numId w:val="0"/>
        </w:numPr>
        <w:spacing w:before="120" w:beforeAutospacing="0" w:after="0" w:afterAutospacing="0" w:line="560" w:lineRule="exact"/>
        <w:jc w:val="both"/>
        <w:rPr>
          <w:rFonts w:hint="eastAsia" w:ascii="Times New Roman" w:hAnsi="Times New Roman" w:eastAsia="仿宋_GB2312"/>
          <w:b/>
          <w:bCs/>
          <w:color w:val="000000"/>
          <w:sz w:val="32"/>
          <w:szCs w:val="32"/>
          <w:shd w:val="clear" w:color="auto" w:fill="FFFFFF"/>
          <w:lang w:val="en-US" w:eastAsia="zh-CN"/>
        </w:rPr>
      </w:pPr>
    </w:p>
    <w:p>
      <w:pPr>
        <w:pStyle w:val="13"/>
        <w:numPr>
          <w:ilvl w:val="0"/>
          <w:numId w:val="0"/>
        </w:numPr>
        <w:spacing w:before="120" w:beforeAutospacing="0" w:after="0" w:afterAutospacing="0" w:line="560" w:lineRule="exact"/>
        <w:jc w:val="both"/>
        <w:rPr>
          <w:rFonts w:hint="eastAsia" w:ascii="Times New Roman" w:hAnsi="Times New Roman" w:eastAsia="仿宋_GB2312"/>
          <w:b/>
          <w:bCs/>
          <w:color w:val="000000"/>
          <w:sz w:val="32"/>
          <w:szCs w:val="32"/>
          <w:shd w:val="clear" w:color="auto" w:fill="FFFFFF"/>
          <w:lang w:val="en-US" w:eastAsia="zh-CN"/>
        </w:rPr>
      </w:pPr>
    </w:p>
    <w:p>
      <w:pPr>
        <w:pStyle w:val="13"/>
        <w:numPr>
          <w:ilvl w:val="0"/>
          <w:numId w:val="0"/>
        </w:numPr>
        <w:spacing w:before="120" w:beforeAutospacing="0" w:after="0" w:afterAutospacing="0" w:line="560" w:lineRule="exact"/>
        <w:jc w:val="both"/>
        <w:rPr>
          <w:rFonts w:hint="eastAsia" w:ascii="Times New Roman" w:hAnsi="Times New Roman" w:eastAsia="仿宋_GB2312"/>
          <w:b/>
          <w:bCs/>
          <w:color w:val="000000"/>
          <w:sz w:val="32"/>
          <w:szCs w:val="32"/>
          <w:shd w:val="clear" w:color="auto" w:fill="FFFFFF"/>
          <w:lang w:val="en-US" w:eastAsia="zh-CN"/>
        </w:rPr>
      </w:pPr>
    </w:p>
    <w:p>
      <w:pPr>
        <w:pStyle w:val="13"/>
        <w:numPr>
          <w:ilvl w:val="0"/>
          <w:numId w:val="0"/>
        </w:numPr>
        <w:spacing w:before="120" w:beforeAutospacing="0" w:after="0" w:afterAutospacing="0" w:line="560" w:lineRule="exact"/>
        <w:jc w:val="both"/>
        <w:rPr>
          <w:rFonts w:hint="eastAsia" w:ascii="Times New Roman" w:hAnsi="Times New Roman" w:eastAsia="仿宋_GB2312"/>
          <w:b/>
          <w:bCs/>
          <w:color w:val="000000"/>
          <w:sz w:val="32"/>
          <w:szCs w:val="32"/>
          <w:shd w:val="clear" w:color="auto" w:fill="FFFFFF"/>
          <w:lang w:val="en-US" w:eastAsia="zh-CN"/>
        </w:rPr>
      </w:pPr>
    </w:p>
    <w:p>
      <w:pPr>
        <w:pStyle w:val="13"/>
        <w:numPr>
          <w:ilvl w:val="0"/>
          <w:numId w:val="0"/>
        </w:numPr>
        <w:spacing w:before="120" w:beforeAutospacing="0" w:after="0" w:afterAutospacing="0" w:line="560" w:lineRule="exact"/>
        <w:jc w:val="both"/>
        <w:rPr>
          <w:rFonts w:hint="eastAsia" w:ascii="Times New Roman" w:hAnsi="Times New Roman" w:eastAsia="仿宋_GB2312"/>
          <w:b/>
          <w:bCs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仿宋_GB2312"/>
          <w:b/>
          <w:bCs/>
          <w:color w:val="000000"/>
          <w:sz w:val="32"/>
          <w:szCs w:val="32"/>
          <w:shd w:val="clear" w:color="auto" w:fill="FFFFFF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234315</wp:posOffset>
            </wp:positionV>
            <wp:extent cx="4775200" cy="2463165"/>
            <wp:effectExtent l="0" t="0" r="6350" b="13335"/>
            <wp:wrapNone/>
            <wp:docPr id="11" name="图片 11" descr="微信图片_202403201525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03201525321"/>
                    <pic:cNvPicPr>
                      <a:picLocks noChangeAspect="1"/>
                    </pic:cNvPicPr>
                  </pic:nvPicPr>
                  <pic:blipFill>
                    <a:blip r:embed="rId12"/>
                    <a:srcRect r="-602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3"/>
        <w:numPr>
          <w:ilvl w:val="0"/>
          <w:numId w:val="0"/>
        </w:numPr>
        <w:spacing w:before="120" w:beforeAutospacing="0" w:after="0" w:afterAutospacing="0" w:line="560" w:lineRule="exact"/>
        <w:jc w:val="both"/>
        <w:rPr>
          <w:rFonts w:hint="eastAsia" w:ascii="Times New Roman" w:hAnsi="Times New Roman" w:eastAsia="仿宋_GB2312"/>
          <w:b/>
          <w:bCs/>
          <w:color w:val="000000"/>
          <w:sz w:val="32"/>
          <w:szCs w:val="32"/>
          <w:shd w:val="clear" w:color="auto" w:fill="FFFFFF"/>
          <w:lang w:val="en-US" w:eastAsia="zh-CN"/>
        </w:rPr>
      </w:pPr>
    </w:p>
    <w:p>
      <w:pPr>
        <w:pStyle w:val="13"/>
        <w:numPr>
          <w:ilvl w:val="0"/>
          <w:numId w:val="0"/>
        </w:numPr>
        <w:spacing w:before="120" w:beforeAutospacing="0" w:after="0" w:afterAutospacing="0" w:line="560" w:lineRule="exact"/>
        <w:jc w:val="both"/>
        <w:rPr>
          <w:rFonts w:hint="default" w:ascii="Times New Roman" w:hAnsi="Times New Roman" w:eastAsia="仿宋_GB2312"/>
          <w:b/>
          <w:bCs/>
          <w:color w:val="000000"/>
          <w:sz w:val="32"/>
          <w:szCs w:val="32"/>
          <w:shd w:val="clear" w:color="auto" w:fill="FFFFFF"/>
          <w:lang w:val="en-US" w:eastAsia="zh-CN"/>
        </w:rPr>
      </w:pPr>
    </w:p>
    <w:p>
      <w:pPr>
        <w:pStyle w:val="13"/>
        <w:numPr>
          <w:ilvl w:val="0"/>
          <w:numId w:val="0"/>
        </w:numPr>
        <w:spacing w:before="120" w:beforeAutospacing="0" w:after="0" w:afterAutospacing="0" w:line="560" w:lineRule="exact"/>
        <w:jc w:val="both"/>
        <w:rPr>
          <w:rFonts w:hint="default" w:ascii="Times New Roman" w:hAnsi="Times New Roman" w:eastAsia="仿宋_GB2312"/>
          <w:b/>
          <w:bCs/>
          <w:color w:val="000000"/>
          <w:sz w:val="32"/>
          <w:szCs w:val="32"/>
          <w:shd w:val="clear" w:color="auto" w:fill="FFFFFF"/>
          <w:lang w:val="en-US" w:eastAsia="zh-CN"/>
        </w:rPr>
      </w:pPr>
    </w:p>
    <w:p>
      <w:pPr>
        <w:pStyle w:val="13"/>
        <w:numPr>
          <w:ilvl w:val="0"/>
          <w:numId w:val="0"/>
        </w:numPr>
        <w:spacing w:before="120" w:beforeAutospacing="0" w:after="0" w:afterAutospacing="0" w:line="560" w:lineRule="exact"/>
        <w:jc w:val="both"/>
        <w:rPr>
          <w:rFonts w:hint="default" w:ascii="Times New Roman" w:hAnsi="Times New Roman" w:eastAsia="仿宋_GB2312"/>
          <w:b/>
          <w:bCs/>
          <w:color w:val="000000"/>
          <w:sz w:val="32"/>
          <w:szCs w:val="32"/>
          <w:shd w:val="clear" w:color="auto" w:fill="FFFFFF"/>
          <w:lang w:val="en-US" w:eastAsia="zh-CN"/>
        </w:rPr>
      </w:pPr>
    </w:p>
    <w:p>
      <w:pPr>
        <w:pStyle w:val="13"/>
        <w:numPr>
          <w:ilvl w:val="0"/>
          <w:numId w:val="0"/>
        </w:numPr>
        <w:spacing w:before="120" w:beforeAutospacing="0" w:after="0" w:afterAutospacing="0" w:line="560" w:lineRule="exact"/>
        <w:jc w:val="both"/>
        <w:rPr>
          <w:rFonts w:hint="default" w:ascii="Times New Roman" w:hAnsi="Times New Roman" w:eastAsia="仿宋_GB2312"/>
          <w:b/>
          <w:bCs/>
          <w:color w:val="000000"/>
          <w:sz w:val="32"/>
          <w:szCs w:val="32"/>
          <w:shd w:val="clear" w:color="auto" w:fill="FFFFFF"/>
          <w:lang w:val="en-US" w:eastAsia="zh-CN"/>
        </w:rPr>
      </w:pPr>
    </w:p>
    <w:p>
      <w:pPr>
        <w:pStyle w:val="13"/>
        <w:numPr>
          <w:ilvl w:val="0"/>
          <w:numId w:val="0"/>
        </w:numPr>
        <w:spacing w:before="120" w:beforeAutospacing="0" w:after="0" w:afterAutospacing="0" w:line="560" w:lineRule="exact"/>
        <w:jc w:val="both"/>
        <w:rPr>
          <w:rFonts w:hint="default" w:ascii="Times New Roman" w:hAnsi="Times New Roman" w:eastAsia="仿宋_GB2312"/>
          <w:b/>
          <w:bCs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auto"/>
          <w:spacing w:val="15"/>
          <w:kern w:val="0"/>
          <w:sz w:val="32"/>
          <w:szCs w:val="32"/>
          <w:u w:val="none"/>
          <w:shd w:val="clear" w:color="auto" w:fill="auto"/>
          <w:lang w:val="en-US"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107315</wp:posOffset>
            </wp:positionV>
            <wp:extent cx="4745990" cy="2332990"/>
            <wp:effectExtent l="0" t="0" r="16510" b="10160"/>
            <wp:wrapNone/>
            <wp:docPr id="1" name="图片 1" descr="微信图片_2024032015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3201525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3"/>
        <w:numPr>
          <w:ilvl w:val="0"/>
          <w:numId w:val="0"/>
        </w:numPr>
        <w:spacing w:before="120" w:beforeAutospacing="0" w:after="0" w:afterAutospacing="0" w:line="560" w:lineRule="exact"/>
        <w:jc w:val="both"/>
        <w:rPr>
          <w:rFonts w:hint="default" w:ascii="Times New Roman" w:hAnsi="Times New Roman" w:eastAsia="仿宋_GB2312"/>
          <w:b/>
          <w:bCs/>
          <w:color w:val="000000"/>
          <w:sz w:val="32"/>
          <w:szCs w:val="32"/>
          <w:shd w:val="clear" w:color="auto" w:fill="FFFFFF"/>
          <w:lang w:val="en-US" w:eastAsia="zh-CN"/>
        </w:rPr>
      </w:pPr>
    </w:p>
    <w:p>
      <w:pPr>
        <w:pStyle w:val="13"/>
        <w:numPr>
          <w:ilvl w:val="0"/>
          <w:numId w:val="0"/>
        </w:numPr>
        <w:spacing w:before="120" w:beforeAutospacing="0" w:after="0" w:afterAutospacing="0" w:line="560" w:lineRule="exact"/>
        <w:jc w:val="both"/>
        <w:rPr>
          <w:rFonts w:hint="default" w:ascii="Times New Roman" w:hAnsi="Times New Roman" w:eastAsia="仿宋_GB2312"/>
          <w:b/>
          <w:bCs/>
          <w:color w:val="000000"/>
          <w:sz w:val="32"/>
          <w:szCs w:val="32"/>
          <w:shd w:val="clear" w:color="auto" w:fill="FFFFFF"/>
          <w:lang w:val="en-US" w:eastAsia="zh-CN"/>
        </w:rPr>
      </w:pPr>
    </w:p>
    <w:p>
      <w:pPr>
        <w:pStyle w:val="13"/>
        <w:numPr>
          <w:ilvl w:val="0"/>
          <w:numId w:val="0"/>
        </w:numPr>
        <w:spacing w:before="120" w:beforeAutospacing="0" w:after="0" w:afterAutospacing="0" w:line="560" w:lineRule="exact"/>
        <w:jc w:val="both"/>
        <w:rPr>
          <w:rFonts w:hint="default" w:ascii="Times New Roman" w:hAnsi="Times New Roman" w:eastAsia="仿宋_GB2312"/>
          <w:b/>
          <w:bCs/>
          <w:color w:val="000000"/>
          <w:sz w:val="32"/>
          <w:szCs w:val="32"/>
          <w:shd w:val="clear" w:color="auto" w:fill="FFFFFF"/>
          <w:lang w:val="en-US" w:eastAsia="zh-CN"/>
        </w:rPr>
      </w:pPr>
    </w:p>
    <w:p>
      <w:pPr>
        <w:pStyle w:val="13"/>
        <w:numPr>
          <w:ilvl w:val="0"/>
          <w:numId w:val="0"/>
        </w:numPr>
        <w:spacing w:before="120" w:beforeAutospacing="0" w:after="0" w:afterAutospacing="0" w:line="560" w:lineRule="exact"/>
        <w:jc w:val="both"/>
        <w:rPr>
          <w:rFonts w:hint="default" w:ascii="Times New Roman" w:hAnsi="Times New Roman" w:eastAsia="仿宋_GB2312"/>
          <w:b/>
          <w:bCs/>
          <w:color w:val="000000"/>
          <w:sz w:val="32"/>
          <w:szCs w:val="32"/>
          <w:shd w:val="clear" w:color="auto" w:fill="FFFFFF"/>
          <w:lang w:val="en-US" w:eastAsia="zh-CN"/>
        </w:rPr>
      </w:pPr>
    </w:p>
    <w:p>
      <w:pPr>
        <w:pStyle w:val="13"/>
        <w:numPr>
          <w:ilvl w:val="0"/>
          <w:numId w:val="0"/>
        </w:numPr>
        <w:spacing w:before="120" w:beforeAutospacing="0" w:after="0" w:afterAutospacing="0" w:line="560" w:lineRule="exact"/>
        <w:jc w:val="both"/>
        <w:rPr>
          <w:rFonts w:hint="default" w:ascii="Times New Roman" w:hAnsi="Times New Roman" w:eastAsia="仿宋_GB2312"/>
          <w:b/>
          <w:bCs/>
          <w:color w:val="000000"/>
          <w:sz w:val="32"/>
          <w:szCs w:val="32"/>
          <w:shd w:val="clear" w:color="auto" w:fill="FFFFFF"/>
          <w:lang w:val="en-US" w:eastAsia="zh-CN"/>
        </w:rPr>
      </w:pPr>
    </w:p>
    <w:p>
      <w:pPr>
        <w:pStyle w:val="13"/>
        <w:numPr>
          <w:ilvl w:val="0"/>
          <w:numId w:val="2"/>
        </w:numPr>
        <w:spacing w:before="120" w:beforeAutospacing="0" w:after="0" w:afterAutospacing="0" w:line="560" w:lineRule="exact"/>
        <w:ind w:left="0" w:leftChars="0" w:firstLine="643" w:firstLineChars="200"/>
        <w:jc w:val="both"/>
        <w:rPr>
          <w:rFonts w:hint="default" w:ascii="Times New Roman" w:hAnsi="Times New Roman" w:eastAsia="仿宋_GB2312"/>
          <w:b/>
          <w:bCs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仿宋_GB2312"/>
          <w:b/>
          <w:bCs/>
          <w:color w:val="000000"/>
          <w:sz w:val="32"/>
          <w:szCs w:val="32"/>
          <w:shd w:val="clear" w:color="auto" w:fill="FFFFFF"/>
          <w:lang w:val="en-US" w:eastAsia="zh-CN"/>
        </w:rPr>
        <w:t>监督保障情况。</w:t>
      </w:r>
      <w:r>
        <w:rPr>
          <w:rFonts w:ascii="Times New Roman" w:hAnsi="Times New Roman" w:eastAsia="仿宋_GB2312"/>
          <w:color w:val="000000"/>
          <w:sz w:val="32"/>
          <w:szCs w:val="32"/>
          <w:shd w:val="clear" w:color="auto" w:fill="FFFFFF"/>
        </w:rPr>
        <w:t>严格准确的落实信息公开工作制度，对工作要求和程序进行明确。细化工作方案，明确全年信息公开总体要求、主要内容、工作措施等内容，制定政务公开重点工作任务分解表。根据保密工作要求，我局在工作制度中明确“先审查、后公开”原则，严格遵照政务公开相关法律法规的规定。</w:t>
      </w:r>
    </w:p>
    <w:p>
      <w:pPr>
        <w:pStyle w:val="13"/>
        <w:spacing w:before="120" w:beforeAutospacing="0" w:after="0" w:afterAutospacing="0" w:line="560" w:lineRule="exact"/>
        <w:ind w:firstLine="640"/>
        <w:jc w:val="both"/>
        <w:rPr>
          <w:rFonts w:ascii="Times New Roman" w:hAnsi="Times New Roman" w:eastAsia="黑体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eastAsia="黑体"/>
          <w:color w:val="000000"/>
          <w:sz w:val="32"/>
          <w:szCs w:val="32"/>
          <w:shd w:val="clear" w:color="auto" w:fill="FFFFFF"/>
        </w:rPr>
        <w:t>二、主动公开政府信息情况</w:t>
      </w:r>
    </w:p>
    <w:tbl>
      <w:tblPr>
        <w:tblStyle w:val="14"/>
        <w:tblW w:w="974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435"/>
        <w:gridCol w:w="2435"/>
        <w:gridCol w:w="2435"/>
        <w:gridCol w:w="243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Ansi="宋体" w:eastAsia="宋体"/>
                <w:color w:val="000000"/>
                <w:kern w:val="0"/>
                <w:sz w:val="20"/>
              </w:rPr>
              <w:t>第二十条第（一）项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Ansi="宋体" w:eastAsia="宋体"/>
                <w:color w:val="000000"/>
                <w:kern w:val="0"/>
                <w:sz w:val="20"/>
              </w:rPr>
              <w:t>信息内容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Ansi="宋体" w:eastAsia="宋体"/>
                <w:color w:val="000000"/>
                <w:kern w:val="0"/>
                <w:sz w:val="20"/>
              </w:rPr>
              <w:t>本年</w:t>
            </w:r>
            <w:r>
              <w:rPr>
                <w:rFonts w:hAnsi="宋体" w:eastAsia="宋体"/>
                <w:kern w:val="0"/>
                <w:sz w:val="20"/>
              </w:rPr>
              <w:t>制发件数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Ansi="宋体" w:eastAsia="宋体"/>
                <w:color w:val="000000"/>
                <w:kern w:val="0"/>
                <w:sz w:val="20"/>
              </w:rPr>
              <w:t>本年废止件数</w:t>
            </w:r>
          </w:p>
        </w:tc>
        <w:tc>
          <w:tcPr>
            <w:tcW w:w="243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Ansi="宋体" w:eastAsia="宋体"/>
                <w:color w:val="000000"/>
                <w:kern w:val="0"/>
                <w:sz w:val="20"/>
              </w:rPr>
              <w:t>现行有效件</w:t>
            </w:r>
            <w:r>
              <w:rPr>
                <w:rFonts w:hAnsi="宋体" w:eastAsia="宋体"/>
                <w:kern w:val="0"/>
                <w:sz w:val="20"/>
              </w:rPr>
              <w:t>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Ansi="宋体" w:eastAsia="宋体"/>
                <w:color w:val="000000"/>
                <w:kern w:val="0"/>
                <w:sz w:val="20"/>
              </w:rPr>
              <w:t>规章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color w:val="000000"/>
                <w:kern w:val="0"/>
                <w:sz w:val="20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color w:val="000000"/>
                <w:kern w:val="0"/>
                <w:sz w:val="20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1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Ansi="宋体" w:eastAsia="宋体"/>
                <w:color w:val="000000"/>
                <w:kern w:val="0"/>
                <w:sz w:val="20"/>
              </w:rPr>
              <w:t>行政规范性文件</w:t>
            </w:r>
          </w:p>
        </w:tc>
        <w:tc>
          <w:tcPr>
            <w:tcW w:w="2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eastAsia="宋体"/>
              </w:rPr>
            </w:pPr>
            <w:r>
              <w:rPr>
                <w:rFonts w:eastAsia="宋体"/>
                <w:color w:val="000000"/>
                <w:kern w:val="0"/>
                <w:sz w:val="20"/>
              </w:rPr>
              <w:t>5</w:t>
            </w:r>
          </w:p>
        </w:tc>
        <w:tc>
          <w:tcPr>
            <w:tcW w:w="2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eastAsia="宋体"/>
              </w:rPr>
            </w:pPr>
            <w:r>
              <w:rPr>
                <w:rFonts w:eastAsia="宋体"/>
                <w:color w:val="000000"/>
                <w:kern w:val="0"/>
                <w:sz w:val="20"/>
              </w:rPr>
              <w:t>2</w:t>
            </w:r>
          </w:p>
        </w:tc>
        <w:tc>
          <w:tcPr>
            <w:tcW w:w="2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color w:val="000000"/>
                <w:kern w:val="0"/>
                <w:sz w:val="20"/>
              </w:rPr>
              <w:t>14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Ansi="宋体" w:eastAsia="宋体"/>
                <w:color w:val="000000"/>
                <w:kern w:val="0"/>
                <w:sz w:val="20"/>
              </w:rPr>
              <w:t>第二十条第（五）项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Ansi="宋体" w:eastAsia="宋体"/>
                <w:color w:val="000000"/>
                <w:kern w:val="0"/>
                <w:sz w:val="20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Ansi="宋体" w:eastAsia="宋体"/>
                <w:color w:val="000000"/>
                <w:kern w:val="0"/>
                <w:sz w:val="20"/>
              </w:rPr>
              <w:t>本年处理决定数量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Ansi="宋体" w:eastAsia="宋体"/>
                <w:color w:val="000000"/>
                <w:kern w:val="0"/>
                <w:sz w:val="20"/>
              </w:rPr>
              <w:t>行政许可</w:t>
            </w:r>
          </w:p>
        </w:tc>
        <w:tc>
          <w:tcPr>
            <w:tcW w:w="730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eastAsia="宋体"/>
                <w:color w:val="000000"/>
                <w:kern w:val="0"/>
                <w:sz w:val="20"/>
              </w:rPr>
            </w:pPr>
            <w:r>
              <w:rPr>
                <w:rFonts w:eastAsia="宋体"/>
                <w:color w:val="000000"/>
                <w:kern w:val="0"/>
                <w:sz w:val="20"/>
              </w:rPr>
              <w:t>862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Ansi="宋体" w:eastAsia="宋体"/>
                <w:color w:val="000000"/>
                <w:kern w:val="0"/>
                <w:sz w:val="20"/>
              </w:rPr>
              <w:t>第二十条第（六）项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Ansi="宋体" w:eastAsia="宋体"/>
                <w:color w:val="000000"/>
                <w:kern w:val="0"/>
                <w:sz w:val="20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Ansi="宋体" w:eastAsia="宋体"/>
                <w:color w:val="000000"/>
                <w:kern w:val="0"/>
                <w:sz w:val="20"/>
              </w:rPr>
              <w:t>本年处理决定数量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Ansi="宋体" w:eastAsia="宋体"/>
                <w:color w:val="000000"/>
                <w:kern w:val="0"/>
                <w:sz w:val="20"/>
              </w:rPr>
              <w:t>行政处罚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color w:val="000000"/>
                <w:kern w:val="0"/>
                <w:sz w:val="20"/>
              </w:rPr>
              <w:t>22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Ansi="宋体" w:eastAsia="宋体"/>
                <w:color w:val="000000"/>
                <w:kern w:val="0"/>
                <w:sz w:val="20"/>
              </w:rPr>
              <w:t>行政强制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eastAsiaTheme="minorEastAsia"/>
                <w:sz w:val="20"/>
              </w:rPr>
            </w:pPr>
            <w:r>
              <w:rPr>
                <w:rFonts w:eastAsiaTheme="minorEastAsia"/>
                <w:sz w:val="20"/>
              </w:rPr>
              <w:t>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9740" w:type="dxa"/>
            <w:gridSpan w:val="4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Ansi="宋体" w:eastAsia="宋体"/>
                <w:color w:val="000000"/>
                <w:kern w:val="0"/>
                <w:sz w:val="20"/>
              </w:rPr>
              <w:t>第二十条第（八）项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Ansi="宋体" w:eastAsia="宋体"/>
                <w:color w:val="000000"/>
                <w:kern w:val="0"/>
                <w:sz w:val="20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Ansi="宋体" w:eastAsia="宋体"/>
                <w:color w:val="000000"/>
                <w:kern w:val="0"/>
                <w:sz w:val="20"/>
              </w:rPr>
              <w:t>本年收费金额（单位：万元）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  <w:jc w:val="center"/>
        </w:trPr>
        <w:tc>
          <w:tcPr>
            <w:tcW w:w="243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Ansi="宋体" w:eastAsia="宋体"/>
                <w:color w:val="000000"/>
                <w:kern w:val="0"/>
                <w:sz w:val="20"/>
              </w:rPr>
              <w:t>行政事业性收费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>
      <w:pPr>
        <w:pStyle w:val="13"/>
        <w:spacing w:before="120" w:beforeAutospacing="0" w:after="0" w:afterAutospacing="0"/>
        <w:ind w:firstLine="640" w:firstLineChars="200"/>
        <w:jc w:val="both"/>
        <w:rPr>
          <w:rFonts w:ascii="Times New Roman" w:hAnsi="Times New Roman" w:eastAsia="黑体"/>
          <w:color w:val="000000"/>
          <w:sz w:val="32"/>
          <w:szCs w:val="32"/>
          <w:shd w:val="clear" w:color="auto" w:fill="FFFFFF"/>
        </w:rPr>
      </w:pPr>
    </w:p>
    <w:p>
      <w:pPr>
        <w:pStyle w:val="13"/>
        <w:spacing w:before="120" w:beforeAutospacing="0" w:after="0" w:afterAutospacing="0"/>
        <w:ind w:firstLine="640" w:firstLineChars="200"/>
        <w:jc w:val="both"/>
        <w:rPr>
          <w:rFonts w:ascii="Times New Roman" w:hAnsi="Times New Roman" w:eastAsia="黑体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eastAsia="黑体"/>
          <w:color w:val="000000"/>
          <w:sz w:val="32"/>
          <w:szCs w:val="32"/>
          <w:shd w:val="clear" w:color="auto" w:fill="FFFFFF"/>
        </w:rPr>
        <w:t>三、收到和处理政府信息公开申请情况</w:t>
      </w:r>
    </w:p>
    <w:tbl>
      <w:tblPr>
        <w:tblStyle w:val="14"/>
        <w:tblW w:w="9748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9"/>
        <w:gridCol w:w="845"/>
        <w:gridCol w:w="3544"/>
        <w:gridCol w:w="462"/>
        <w:gridCol w:w="688"/>
        <w:gridCol w:w="688"/>
        <w:gridCol w:w="855"/>
        <w:gridCol w:w="851"/>
        <w:gridCol w:w="588"/>
        <w:gridCol w:w="458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158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bottom w:val="outset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Ansi="楷体" w:eastAsia="楷体"/>
                <w:kern w:val="0"/>
                <w:sz w:val="20"/>
              </w:rPr>
              <w:t>（本列数据的勾稽关系为：第一项加第二项之和，等于第三项加第四项之和）</w:t>
            </w:r>
          </w:p>
        </w:tc>
        <w:tc>
          <w:tcPr>
            <w:tcW w:w="4590" w:type="dxa"/>
            <w:gridSpan w:val="7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Ansi="宋体" w:eastAsia="宋体"/>
                <w:kern w:val="0"/>
                <w:sz w:val="20"/>
              </w:rPr>
              <w:t>申请人情况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158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outset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462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Ansi="宋体" w:eastAsia="宋体"/>
                <w:kern w:val="0"/>
                <w:sz w:val="20"/>
              </w:rPr>
              <w:t>自然人</w:t>
            </w:r>
          </w:p>
        </w:tc>
        <w:tc>
          <w:tcPr>
            <w:tcW w:w="367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Ansi="宋体" w:eastAsia="宋体"/>
                <w:kern w:val="0"/>
                <w:sz w:val="20"/>
              </w:rPr>
              <w:t>法人或其他组织</w:t>
            </w:r>
          </w:p>
        </w:tc>
        <w:tc>
          <w:tcPr>
            <w:tcW w:w="458" w:type="dxa"/>
            <w:vMerge w:val="restart"/>
            <w:tcBorders>
              <w:top w:val="single" w:color="auto" w:sz="8" w:space="0"/>
              <w:left w:val="nil"/>
              <w:bottom w:val="outset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Ansi="宋体" w:eastAsia="宋体"/>
                <w:kern w:val="0"/>
                <w:sz w:val="20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158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outset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462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Ansi="宋体" w:eastAsia="宋体"/>
                <w:kern w:val="0"/>
                <w:sz w:val="20"/>
              </w:rPr>
              <w:t>商业</w:t>
            </w:r>
          </w:p>
          <w:p>
            <w:pPr>
              <w:widowControl/>
              <w:jc w:val="center"/>
            </w:pPr>
            <w:r>
              <w:rPr>
                <w:rFonts w:hAnsi="宋体" w:eastAsia="宋体"/>
                <w:kern w:val="0"/>
                <w:sz w:val="20"/>
              </w:rPr>
              <w:t>企业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Ansi="宋体" w:eastAsia="宋体"/>
                <w:kern w:val="0"/>
                <w:sz w:val="20"/>
              </w:rPr>
              <w:t>科研</w:t>
            </w:r>
          </w:p>
          <w:p>
            <w:pPr>
              <w:widowControl/>
              <w:jc w:val="center"/>
            </w:pPr>
            <w:r>
              <w:rPr>
                <w:rFonts w:hAnsi="宋体" w:eastAsia="宋体"/>
                <w:kern w:val="0"/>
                <w:sz w:val="20"/>
              </w:rPr>
              <w:t>机构</w:t>
            </w:r>
          </w:p>
        </w:tc>
        <w:tc>
          <w:tcPr>
            <w:tcW w:w="8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Ansi="宋体" w:eastAsia="宋体"/>
                <w:kern w:val="0"/>
                <w:sz w:val="20"/>
              </w:rPr>
              <w:t>社会公益组织</w:t>
            </w:r>
          </w:p>
        </w:tc>
        <w:tc>
          <w:tcPr>
            <w:tcW w:w="85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Ansi="宋体" w:eastAsia="宋体"/>
                <w:kern w:val="0"/>
                <w:sz w:val="20"/>
              </w:rPr>
              <w:t>法律服务机构</w:t>
            </w:r>
          </w:p>
        </w:tc>
        <w:tc>
          <w:tcPr>
            <w:tcW w:w="58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hAnsi="宋体" w:eastAsia="宋体"/>
                <w:kern w:val="0"/>
                <w:sz w:val="20"/>
              </w:rPr>
              <w:t>其他</w:t>
            </w:r>
          </w:p>
        </w:tc>
        <w:tc>
          <w:tcPr>
            <w:tcW w:w="458" w:type="dxa"/>
            <w:vMerge w:val="continue"/>
            <w:tcBorders>
              <w:top w:val="single" w:color="auto" w:sz="8" w:space="0"/>
              <w:left w:val="nil"/>
              <w:bottom w:val="outset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158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Ansi="宋体" w:eastAsia="宋体"/>
                <w:kern w:val="0"/>
                <w:sz w:val="20"/>
              </w:rPr>
              <w:t>一、本年新收政府信息公开申请数量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11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11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158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Ansi="宋体" w:eastAsia="宋体"/>
                <w:kern w:val="0"/>
                <w:sz w:val="20"/>
              </w:rPr>
              <w:t>二、上年结转政府信息公开申请数量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9" w:type="dxa"/>
            <w:vMerge w:val="restart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Ansi="宋体" w:eastAsia="宋体"/>
                <w:kern w:val="0"/>
                <w:sz w:val="20"/>
              </w:rPr>
              <w:t>三、本年度办理结果</w:t>
            </w:r>
          </w:p>
        </w:tc>
        <w:tc>
          <w:tcPr>
            <w:tcW w:w="4389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Ansi="宋体" w:eastAsia="宋体"/>
                <w:kern w:val="0"/>
                <w:sz w:val="20"/>
              </w:rPr>
              <w:t>（一）予以公开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11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45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11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9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4389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Ansi="宋体" w:eastAsia="宋体"/>
                <w:kern w:val="0"/>
                <w:sz w:val="20"/>
              </w:rPr>
              <w:t>（二）部分公开</w:t>
            </w:r>
            <w:r>
              <w:rPr>
                <w:rFonts w:hAnsi="楷体" w:eastAsia="楷体"/>
                <w:kern w:val="0"/>
                <w:sz w:val="20"/>
              </w:rPr>
              <w:t>（区分处理的，只计这一情形，不计其他情形）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9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845" w:type="dxa"/>
            <w:vMerge w:val="restart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Ansi="宋体" w:eastAsia="宋体"/>
                <w:kern w:val="0"/>
                <w:sz w:val="20"/>
              </w:rPr>
              <w:t>（三）不予公开</w:t>
            </w:r>
          </w:p>
        </w:tc>
        <w:tc>
          <w:tcPr>
            <w:tcW w:w="35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left"/>
            </w:pPr>
            <w:r>
              <w:rPr>
                <w:rFonts w:eastAsia="宋体"/>
                <w:kern w:val="0"/>
                <w:sz w:val="20"/>
              </w:rPr>
              <w:t>1.</w:t>
            </w:r>
            <w:r>
              <w:rPr>
                <w:rFonts w:hAnsi="宋体" w:eastAsia="宋体"/>
                <w:kern w:val="0"/>
                <w:sz w:val="20"/>
              </w:rPr>
              <w:t>属于国家秘密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45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  <w:jc w:val="center"/>
        </w:trPr>
        <w:tc>
          <w:tcPr>
            <w:tcW w:w="769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845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left"/>
            </w:pPr>
            <w:r>
              <w:rPr>
                <w:rFonts w:eastAsia="宋体"/>
                <w:kern w:val="0"/>
                <w:sz w:val="20"/>
              </w:rPr>
              <w:t>2.</w:t>
            </w:r>
            <w:r>
              <w:rPr>
                <w:rFonts w:hAnsi="宋体" w:eastAsia="宋体"/>
                <w:kern w:val="0"/>
                <w:sz w:val="20"/>
              </w:rPr>
              <w:t>其他法律行政法规禁止公开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hint="eastAsia" w:eastAsia="仿宋_GB2312"/>
                <w:lang w:val="en-US" w:eastAsia="zh-CN"/>
              </w:rPr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" w:hRule="atLeast"/>
          <w:jc w:val="center"/>
        </w:trPr>
        <w:tc>
          <w:tcPr>
            <w:tcW w:w="769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845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left"/>
            </w:pPr>
            <w:r>
              <w:rPr>
                <w:rFonts w:eastAsia="宋体"/>
                <w:kern w:val="0"/>
                <w:sz w:val="20"/>
              </w:rPr>
              <w:t>3.</w:t>
            </w:r>
            <w:r>
              <w:rPr>
                <w:rFonts w:hAnsi="宋体" w:eastAsia="宋体"/>
                <w:kern w:val="0"/>
                <w:sz w:val="20"/>
              </w:rPr>
              <w:t>危及</w:t>
            </w:r>
            <w:r>
              <w:rPr>
                <w:rFonts w:eastAsia="宋体"/>
                <w:kern w:val="0"/>
                <w:sz w:val="20"/>
              </w:rPr>
              <w:t>“</w:t>
            </w:r>
            <w:r>
              <w:rPr>
                <w:rFonts w:hAnsi="宋体" w:eastAsia="宋体"/>
                <w:kern w:val="0"/>
                <w:sz w:val="20"/>
              </w:rPr>
              <w:t>三安全一稳定</w:t>
            </w:r>
            <w:r>
              <w:rPr>
                <w:rFonts w:eastAsia="宋体"/>
                <w:kern w:val="0"/>
                <w:sz w:val="20"/>
              </w:rPr>
              <w:t>”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" w:hRule="atLeast"/>
          <w:jc w:val="center"/>
        </w:trPr>
        <w:tc>
          <w:tcPr>
            <w:tcW w:w="769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845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left"/>
            </w:pPr>
            <w:r>
              <w:rPr>
                <w:rFonts w:eastAsia="宋体"/>
                <w:kern w:val="0"/>
                <w:sz w:val="20"/>
              </w:rPr>
              <w:t>4.</w:t>
            </w:r>
            <w:r>
              <w:rPr>
                <w:rFonts w:hAnsi="宋体" w:eastAsia="宋体"/>
                <w:kern w:val="0"/>
                <w:sz w:val="20"/>
              </w:rPr>
              <w:t>保护第三方合法权益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9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845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left"/>
            </w:pPr>
            <w:r>
              <w:rPr>
                <w:rFonts w:eastAsia="宋体"/>
                <w:kern w:val="0"/>
                <w:sz w:val="20"/>
              </w:rPr>
              <w:t>5.</w:t>
            </w:r>
            <w:r>
              <w:rPr>
                <w:rFonts w:hAnsi="宋体" w:eastAsia="宋体"/>
                <w:kern w:val="0"/>
                <w:sz w:val="20"/>
              </w:rPr>
              <w:t>属于三类内部事务信息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9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845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left"/>
            </w:pPr>
            <w:r>
              <w:rPr>
                <w:rFonts w:eastAsia="宋体"/>
                <w:kern w:val="0"/>
                <w:sz w:val="20"/>
              </w:rPr>
              <w:t>6.</w:t>
            </w:r>
            <w:r>
              <w:rPr>
                <w:rFonts w:hAnsi="宋体" w:eastAsia="宋体"/>
                <w:kern w:val="0"/>
                <w:sz w:val="20"/>
              </w:rPr>
              <w:t>属于四类过程性信息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9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845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left"/>
            </w:pPr>
            <w:r>
              <w:rPr>
                <w:rFonts w:eastAsia="宋体"/>
                <w:kern w:val="0"/>
                <w:sz w:val="20"/>
              </w:rPr>
              <w:t>7.</w:t>
            </w:r>
            <w:r>
              <w:rPr>
                <w:rFonts w:hAnsi="宋体" w:eastAsia="宋体"/>
                <w:kern w:val="0"/>
                <w:sz w:val="20"/>
              </w:rPr>
              <w:t>属于行政执法案卷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9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845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left"/>
            </w:pPr>
            <w:r>
              <w:rPr>
                <w:rFonts w:eastAsia="宋体"/>
                <w:kern w:val="0"/>
                <w:sz w:val="20"/>
              </w:rPr>
              <w:t>8.</w:t>
            </w:r>
            <w:r>
              <w:rPr>
                <w:rFonts w:hAnsi="宋体" w:eastAsia="宋体"/>
                <w:kern w:val="0"/>
                <w:sz w:val="20"/>
              </w:rPr>
              <w:t>属于行政查询事项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9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845" w:type="dxa"/>
            <w:vMerge w:val="restart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Ansi="宋体" w:eastAsia="宋体"/>
                <w:kern w:val="0"/>
                <w:sz w:val="20"/>
              </w:rPr>
              <w:t>（四）无法提供</w:t>
            </w:r>
          </w:p>
        </w:tc>
        <w:tc>
          <w:tcPr>
            <w:tcW w:w="35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left"/>
            </w:pPr>
            <w:r>
              <w:rPr>
                <w:rFonts w:eastAsia="宋体"/>
                <w:kern w:val="0"/>
                <w:sz w:val="20"/>
              </w:rPr>
              <w:t>1.</w:t>
            </w:r>
            <w:r>
              <w:rPr>
                <w:rFonts w:hAnsi="宋体" w:eastAsia="宋体"/>
                <w:kern w:val="0"/>
                <w:sz w:val="20"/>
              </w:rPr>
              <w:t>本机关不掌握相关政府信息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9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845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left"/>
            </w:pPr>
            <w:r>
              <w:rPr>
                <w:rFonts w:eastAsia="宋体"/>
                <w:kern w:val="0"/>
                <w:sz w:val="20"/>
              </w:rPr>
              <w:t>2.</w:t>
            </w:r>
            <w:r>
              <w:rPr>
                <w:rFonts w:hAnsi="宋体" w:eastAsia="宋体"/>
                <w:kern w:val="0"/>
                <w:sz w:val="20"/>
              </w:rPr>
              <w:t>没有现成信息需要另行制作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9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845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left"/>
            </w:pPr>
            <w:r>
              <w:rPr>
                <w:rFonts w:eastAsia="宋体"/>
                <w:kern w:val="0"/>
                <w:sz w:val="20"/>
              </w:rPr>
              <w:t>3.</w:t>
            </w:r>
            <w:r>
              <w:rPr>
                <w:rFonts w:hAnsi="宋体" w:eastAsia="宋体"/>
                <w:kern w:val="0"/>
                <w:sz w:val="20"/>
              </w:rPr>
              <w:t>补正后申请内容仍不明确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9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845" w:type="dxa"/>
            <w:vMerge w:val="restart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Ansi="宋体" w:eastAsia="宋体"/>
                <w:kern w:val="0"/>
                <w:sz w:val="20"/>
              </w:rPr>
              <w:t>（五）不予处理</w:t>
            </w:r>
          </w:p>
        </w:tc>
        <w:tc>
          <w:tcPr>
            <w:tcW w:w="35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left"/>
            </w:pPr>
            <w:r>
              <w:rPr>
                <w:rFonts w:eastAsia="宋体"/>
                <w:kern w:val="0"/>
                <w:sz w:val="20"/>
              </w:rPr>
              <w:t>1.</w:t>
            </w:r>
            <w:r>
              <w:rPr>
                <w:rFonts w:hAnsi="宋体" w:eastAsia="宋体"/>
                <w:kern w:val="0"/>
                <w:sz w:val="20"/>
              </w:rPr>
              <w:t>信访举报投诉类申请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9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845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left"/>
            </w:pPr>
            <w:r>
              <w:rPr>
                <w:rFonts w:eastAsia="宋体"/>
                <w:kern w:val="0"/>
                <w:sz w:val="20"/>
              </w:rPr>
              <w:t>2.</w:t>
            </w:r>
            <w:r>
              <w:rPr>
                <w:rFonts w:hAnsi="宋体" w:eastAsia="宋体"/>
                <w:kern w:val="0"/>
                <w:sz w:val="20"/>
              </w:rPr>
              <w:t>重复申请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9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845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left"/>
            </w:pPr>
            <w:r>
              <w:rPr>
                <w:rFonts w:eastAsia="宋体"/>
                <w:kern w:val="0"/>
                <w:sz w:val="20"/>
              </w:rPr>
              <w:t>3.</w:t>
            </w:r>
            <w:r>
              <w:rPr>
                <w:rFonts w:hAnsi="宋体" w:eastAsia="宋体"/>
                <w:kern w:val="0"/>
                <w:sz w:val="20"/>
              </w:rPr>
              <w:t>要求提供公开出版物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9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845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</w:tcPr>
          <w:p>
            <w:pPr>
              <w:widowControl/>
              <w:jc w:val="left"/>
            </w:pPr>
            <w:r>
              <w:rPr>
                <w:rFonts w:eastAsia="宋体"/>
                <w:kern w:val="0"/>
                <w:sz w:val="20"/>
              </w:rPr>
              <w:t>4.</w:t>
            </w:r>
            <w:r>
              <w:rPr>
                <w:rFonts w:hAnsi="宋体" w:eastAsia="宋体"/>
                <w:kern w:val="0"/>
                <w:sz w:val="20"/>
              </w:rPr>
              <w:t>无正当理由大量反复申请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  <w:jc w:val="center"/>
        </w:trPr>
        <w:tc>
          <w:tcPr>
            <w:tcW w:w="769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845" w:type="dxa"/>
            <w:vMerge w:val="continue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</w:pPr>
            <w:r>
              <w:rPr>
                <w:rFonts w:eastAsia="宋体"/>
                <w:kern w:val="0"/>
                <w:sz w:val="20"/>
              </w:rPr>
              <w:t>5.</w:t>
            </w:r>
            <w:r>
              <w:rPr>
                <w:rFonts w:hAnsi="宋体" w:eastAsia="宋体"/>
                <w:kern w:val="0"/>
                <w:sz w:val="20"/>
              </w:rPr>
              <w:t>要求行政机关确认或重新出具已获取信息</w:t>
            </w:r>
          </w:p>
        </w:tc>
        <w:tc>
          <w:tcPr>
            <w:tcW w:w="462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  <w:jc w:val="center"/>
        </w:trPr>
        <w:tc>
          <w:tcPr>
            <w:tcW w:w="769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845" w:type="dxa"/>
            <w:vMerge w:val="restart"/>
            <w:tcBorders>
              <w:top w:val="outset" w:color="auto" w:sz="8" w:space="0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Ansi="宋体" w:eastAsia="宋体"/>
                <w:kern w:val="0"/>
                <w:sz w:val="20"/>
              </w:rPr>
              <w:t>（六）其他处理</w:t>
            </w:r>
          </w:p>
        </w:tc>
        <w:tc>
          <w:tcPr>
            <w:tcW w:w="35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</w:pPr>
            <w:r>
              <w:rPr>
                <w:rFonts w:eastAsia="宋体"/>
                <w:kern w:val="0"/>
                <w:sz w:val="20"/>
              </w:rPr>
              <w:t>1.</w:t>
            </w:r>
            <w:r>
              <w:rPr>
                <w:rFonts w:hAnsi="宋体" w:eastAsia="宋体"/>
                <w:kern w:val="0"/>
                <w:sz w:val="20"/>
              </w:rPr>
              <w:t>申请人无正当理由逾期不补正、行政机关不再处理其政府信息公开申请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9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845" w:type="dxa"/>
            <w:vMerge w:val="continue"/>
            <w:tcBorders>
              <w:top w:val="outset" w:color="auto" w:sz="8" w:space="0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</w:pPr>
            <w:r>
              <w:rPr>
                <w:rFonts w:eastAsia="宋体"/>
                <w:kern w:val="0"/>
                <w:sz w:val="20"/>
              </w:rPr>
              <w:t>2.</w:t>
            </w:r>
            <w:r>
              <w:rPr>
                <w:rFonts w:hAnsi="宋体" w:eastAsia="宋体"/>
                <w:kern w:val="0"/>
                <w:sz w:val="20"/>
              </w:rPr>
              <w:t>申请人逾期未按收费通知要求缴纳费用、行政机关不再处理其政府信息公开申请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9" w:type="dxa"/>
            <w:vMerge w:val="continue"/>
            <w:tcBorders>
              <w:top w:val="nil"/>
              <w:left w:val="single" w:color="auto" w:sz="8" w:space="0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845" w:type="dxa"/>
            <w:vMerge w:val="continue"/>
            <w:tcBorders>
              <w:top w:val="outset" w:color="auto" w:sz="8" w:space="0"/>
              <w:left w:val="nil"/>
              <w:bottom w:val="outset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eastAsia="宋体"/>
                <w:kern w:val="0"/>
                <w:sz w:val="20"/>
              </w:rPr>
              <w:t>3.</w:t>
            </w:r>
            <w:r>
              <w:rPr>
                <w:rFonts w:hAnsi="宋体" w:eastAsia="宋体"/>
                <w:kern w:val="0"/>
                <w:sz w:val="20"/>
              </w:rPr>
              <w:t>其他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769" w:type="dxa"/>
            <w:vMerge w:val="continue"/>
            <w:tcBorders>
              <w:top w:val="nil"/>
              <w:left w:val="single" w:color="auto" w:sz="8" w:space="0"/>
              <w:bottom w:val="single" w:color="auto" w:sz="4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4389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Ansi="宋体" w:eastAsia="宋体"/>
                <w:kern w:val="0"/>
                <w:sz w:val="20"/>
              </w:rPr>
              <w:t>（七）总计</w:t>
            </w:r>
          </w:p>
        </w:tc>
        <w:tc>
          <w:tcPr>
            <w:tcW w:w="462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  <w:rPr>
                <w:rFonts w:hint="default" w:eastAsia="仿宋_GB2312"/>
                <w:lang w:val="en-US" w:eastAsia="zh-CN"/>
              </w:rPr>
            </w:pPr>
            <w:r>
              <w:rPr>
                <w:rFonts w:hint="eastAsia" w:eastAsia="宋体"/>
                <w:kern w:val="0"/>
                <w:sz w:val="20"/>
                <w:lang w:val="en-US" w:eastAsia="zh-CN"/>
              </w:rPr>
              <w:t>11</w:t>
            </w:r>
            <w:bookmarkStart w:id="0" w:name="_GoBack"/>
            <w:bookmarkEnd w:id="0"/>
          </w:p>
        </w:tc>
        <w:tc>
          <w:tcPr>
            <w:tcW w:w="68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58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458" w:type="dxa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11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15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left"/>
            </w:pPr>
            <w:r>
              <w:rPr>
                <w:rFonts w:hAnsi="宋体" w:eastAsia="宋体"/>
                <w:kern w:val="0"/>
                <w:sz w:val="20"/>
              </w:rPr>
              <w:t>四、结转下年度继续办理</w:t>
            </w:r>
          </w:p>
        </w:tc>
        <w:tc>
          <w:tcPr>
            <w:tcW w:w="4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6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widowControl/>
              <w:jc w:val="center"/>
            </w:pPr>
            <w:r>
              <w:rPr>
                <w:rFonts w:eastAsia="宋体"/>
                <w:kern w:val="0"/>
                <w:sz w:val="20"/>
              </w:rPr>
              <w:t>0</w:t>
            </w:r>
          </w:p>
        </w:tc>
        <w:tc>
          <w:tcPr>
            <w:tcW w:w="45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left w:w="57" w:type="dxa"/>
              <w:right w:w="57" w:type="dxa"/>
            </w:tcMar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>
      <w:pPr>
        <w:pStyle w:val="13"/>
        <w:spacing w:before="120" w:beforeAutospacing="0" w:after="0" w:afterAutospacing="0" w:line="580" w:lineRule="atLeast"/>
        <w:ind w:firstLine="640" w:firstLineChars="200"/>
        <w:jc w:val="both"/>
        <w:rPr>
          <w:rFonts w:ascii="Times New Roman" w:hAnsi="Times New Roman" w:eastAsia="黑体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eastAsia="黑体"/>
          <w:color w:val="000000"/>
          <w:sz w:val="32"/>
          <w:szCs w:val="32"/>
          <w:shd w:val="clear" w:color="auto" w:fill="FFFFFF"/>
        </w:rPr>
        <w:t>四、政府信息公开行政复议、行政诉讼情况</w:t>
      </w:r>
    </w:p>
    <w:tbl>
      <w:tblPr>
        <w:tblStyle w:val="14"/>
        <w:tblW w:w="9748" w:type="dxa"/>
        <w:jc w:val="center"/>
        <w:tblBorders>
          <w:top w:val="none" w:color="auto" w:sz="6" w:space="0"/>
          <w:left w:val="none" w:color="auto" w:sz="6" w:space="0"/>
          <w:bottom w:val="none" w:color="auto" w:sz="6" w:space="0"/>
          <w:right w:val="none" w:color="auto" w:sz="6" w:space="0"/>
          <w:insideH w:val="outset" w:color="auto" w:sz="6" w:space="0"/>
          <w:insideV w:val="outset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0"/>
        <w:gridCol w:w="650"/>
        <w:gridCol w:w="650"/>
        <w:gridCol w:w="657"/>
        <w:gridCol w:w="643"/>
        <w:gridCol w:w="649"/>
        <w:gridCol w:w="649"/>
        <w:gridCol w:w="650"/>
        <w:gridCol w:w="650"/>
        <w:gridCol w:w="650"/>
        <w:gridCol w:w="650"/>
        <w:gridCol w:w="650"/>
        <w:gridCol w:w="650"/>
        <w:gridCol w:w="650"/>
        <w:gridCol w:w="650"/>
      </w:tblGrid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250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hAnsi="宋体" w:eastAsia="宋体"/>
                <w:kern w:val="0"/>
                <w:sz w:val="24"/>
                <w:szCs w:val="24"/>
              </w:rPr>
              <w:t>行政复议</w:t>
            </w:r>
          </w:p>
        </w:tc>
        <w:tc>
          <w:tcPr>
            <w:tcW w:w="6498" w:type="dxa"/>
            <w:gridSpan w:val="1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hAnsi="宋体" w:eastAsia="宋体"/>
                <w:kern w:val="0"/>
                <w:sz w:val="24"/>
                <w:szCs w:val="24"/>
              </w:rPr>
              <w:t>行政诉讼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50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eastAsiaTheme="minorEastAsia"/>
                <w:sz w:val="20"/>
              </w:rPr>
            </w:pPr>
            <w:r>
              <w:rPr>
                <w:rFonts w:hAnsiTheme="minorEastAsia" w:eastAsiaTheme="minorEastAsia"/>
                <w:kern w:val="0"/>
                <w:sz w:val="20"/>
              </w:rPr>
              <w:t>结果维持</w:t>
            </w:r>
          </w:p>
        </w:tc>
        <w:tc>
          <w:tcPr>
            <w:tcW w:w="650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eastAsiaTheme="minorEastAsia"/>
                <w:sz w:val="20"/>
              </w:rPr>
            </w:pPr>
            <w:r>
              <w:rPr>
                <w:rFonts w:hAnsiTheme="minorEastAsia" w:eastAsiaTheme="minorEastAsia"/>
                <w:kern w:val="0"/>
                <w:sz w:val="20"/>
              </w:rPr>
              <w:t>结果</w:t>
            </w:r>
            <w:r>
              <w:rPr>
                <w:rFonts w:eastAsiaTheme="minorEastAsia"/>
                <w:kern w:val="0"/>
                <w:sz w:val="20"/>
              </w:rPr>
              <w:br w:type="textWrapping"/>
            </w:r>
            <w:r>
              <w:rPr>
                <w:rFonts w:hAnsiTheme="minorEastAsia" w:eastAsiaTheme="minorEastAsia"/>
                <w:kern w:val="0"/>
                <w:sz w:val="20"/>
              </w:rPr>
              <w:t>纠正</w:t>
            </w:r>
          </w:p>
        </w:tc>
        <w:tc>
          <w:tcPr>
            <w:tcW w:w="65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eastAsiaTheme="minorEastAsia"/>
                <w:sz w:val="20"/>
              </w:rPr>
            </w:pPr>
            <w:r>
              <w:rPr>
                <w:rFonts w:hAnsiTheme="minorEastAsia" w:eastAsiaTheme="minorEastAsia"/>
                <w:kern w:val="0"/>
                <w:sz w:val="20"/>
              </w:rPr>
              <w:t>其他</w:t>
            </w:r>
            <w:r>
              <w:rPr>
                <w:rFonts w:eastAsiaTheme="minorEastAsia"/>
                <w:kern w:val="0"/>
                <w:sz w:val="20"/>
              </w:rPr>
              <w:br w:type="textWrapping"/>
            </w:r>
            <w:r>
              <w:rPr>
                <w:rFonts w:hAnsiTheme="minorEastAsia" w:eastAsiaTheme="minorEastAsia"/>
                <w:kern w:val="0"/>
                <w:sz w:val="20"/>
              </w:rPr>
              <w:t>结果</w:t>
            </w:r>
          </w:p>
        </w:tc>
        <w:tc>
          <w:tcPr>
            <w:tcW w:w="657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eastAsiaTheme="minorEastAsia"/>
                <w:sz w:val="20"/>
              </w:rPr>
            </w:pPr>
            <w:r>
              <w:rPr>
                <w:rFonts w:hAnsiTheme="minorEastAsia" w:eastAsiaTheme="minorEastAsia"/>
                <w:kern w:val="0"/>
                <w:sz w:val="20"/>
              </w:rPr>
              <w:t>尚未</w:t>
            </w:r>
            <w:r>
              <w:rPr>
                <w:rFonts w:eastAsiaTheme="minorEastAsia"/>
                <w:kern w:val="0"/>
                <w:sz w:val="20"/>
              </w:rPr>
              <w:br w:type="textWrapping"/>
            </w:r>
            <w:r>
              <w:rPr>
                <w:rFonts w:hAnsiTheme="minorEastAsia" w:eastAsiaTheme="minorEastAsia"/>
                <w:kern w:val="0"/>
                <w:sz w:val="20"/>
              </w:rPr>
              <w:t>审结</w:t>
            </w:r>
          </w:p>
        </w:tc>
        <w:tc>
          <w:tcPr>
            <w:tcW w:w="643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eastAsiaTheme="minorEastAsia"/>
                <w:sz w:val="20"/>
              </w:rPr>
            </w:pPr>
            <w:r>
              <w:rPr>
                <w:rFonts w:hAnsiTheme="minorEastAsia" w:eastAsiaTheme="minorEastAsia"/>
                <w:kern w:val="0"/>
                <w:sz w:val="20"/>
              </w:rPr>
              <w:t>总计</w:t>
            </w:r>
          </w:p>
        </w:tc>
        <w:tc>
          <w:tcPr>
            <w:tcW w:w="3248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eastAsiaTheme="minorEastAsia"/>
                <w:sz w:val="20"/>
              </w:rPr>
            </w:pPr>
            <w:r>
              <w:rPr>
                <w:rFonts w:hAnsiTheme="minorEastAsia" w:eastAsiaTheme="minorEastAsia"/>
                <w:kern w:val="0"/>
                <w:sz w:val="20"/>
              </w:rPr>
              <w:t>未经复议直接起诉</w:t>
            </w:r>
          </w:p>
        </w:tc>
        <w:tc>
          <w:tcPr>
            <w:tcW w:w="3250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eastAsiaTheme="minorEastAsia"/>
                <w:sz w:val="20"/>
              </w:rPr>
            </w:pPr>
            <w:r>
              <w:rPr>
                <w:rFonts w:hAnsiTheme="minorEastAsia" w:eastAsiaTheme="minorEastAsia"/>
                <w:kern w:val="0"/>
                <w:sz w:val="20"/>
              </w:rPr>
              <w:t>复议后起诉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5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eastAsiaTheme="minorEastAsia"/>
                <w:sz w:val="20"/>
              </w:rPr>
            </w:pPr>
          </w:p>
        </w:tc>
        <w:tc>
          <w:tcPr>
            <w:tcW w:w="650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eastAsiaTheme="minorEastAsia"/>
                <w:sz w:val="20"/>
              </w:rPr>
            </w:pPr>
          </w:p>
        </w:tc>
        <w:tc>
          <w:tcPr>
            <w:tcW w:w="65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eastAsiaTheme="minorEastAsia"/>
                <w:sz w:val="20"/>
              </w:rPr>
            </w:pPr>
          </w:p>
        </w:tc>
        <w:tc>
          <w:tcPr>
            <w:tcW w:w="657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eastAsiaTheme="minorEastAsia"/>
                <w:sz w:val="20"/>
              </w:rPr>
            </w:pPr>
          </w:p>
        </w:tc>
        <w:tc>
          <w:tcPr>
            <w:tcW w:w="643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rPr>
                <w:rFonts w:eastAsiaTheme="minorEastAsia"/>
                <w:sz w:val="20"/>
              </w:rPr>
            </w:pP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eastAsiaTheme="minorEastAsia"/>
                <w:sz w:val="20"/>
              </w:rPr>
            </w:pPr>
            <w:r>
              <w:rPr>
                <w:rFonts w:hAnsiTheme="minorEastAsia" w:eastAsiaTheme="minorEastAsia"/>
                <w:kern w:val="0"/>
                <w:sz w:val="20"/>
              </w:rPr>
              <w:t>结果</w:t>
            </w:r>
            <w:r>
              <w:rPr>
                <w:rFonts w:eastAsiaTheme="minorEastAsia"/>
                <w:kern w:val="0"/>
                <w:sz w:val="20"/>
              </w:rPr>
              <w:br w:type="textWrapping"/>
            </w:r>
            <w:r>
              <w:rPr>
                <w:rFonts w:hAnsiTheme="minorEastAsia" w:eastAsiaTheme="minorEastAsia"/>
                <w:kern w:val="0"/>
                <w:sz w:val="20"/>
              </w:rPr>
              <w:t>维持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eastAsiaTheme="minorEastAsia"/>
                <w:sz w:val="20"/>
              </w:rPr>
            </w:pPr>
            <w:r>
              <w:rPr>
                <w:rFonts w:hAnsiTheme="minorEastAsia" w:eastAsiaTheme="minorEastAsia"/>
                <w:kern w:val="0"/>
                <w:sz w:val="20"/>
              </w:rPr>
              <w:t>结果</w:t>
            </w:r>
            <w:r>
              <w:rPr>
                <w:rFonts w:eastAsiaTheme="minorEastAsia"/>
                <w:kern w:val="0"/>
                <w:sz w:val="20"/>
              </w:rPr>
              <w:br w:type="textWrapping"/>
            </w:r>
            <w:r>
              <w:rPr>
                <w:rFonts w:hAnsiTheme="minorEastAsia" w:eastAsiaTheme="minorEastAsia"/>
                <w:kern w:val="0"/>
                <w:sz w:val="20"/>
              </w:rPr>
              <w:t>纠正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eastAsiaTheme="minorEastAsia"/>
                <w:sz w:val="20"/>
              </w:rPr>
            </w:pPr>
            <w:r>
              <w:rPr>
                <w:rFonts w:hAnsiTheme="minorEastAsia" w:eastAsiaTheme="minorEastAsia"/>
                <w:kern w:val="0"/>
                <w:sz w:val="20"/>
              </w:rPr>
              <w:t>其他</w:t>
            </w:r>
            <w:r>
              <w:rPr>
                <w:rFonts w:eastAsiaTheme="minorEastAsia"/>
                <w:kern w:val="0"/>
                <w:sz w:val="20"/>
              </w:rPr>
              <w:br w:type="textWrapping"/>
            </w:r>
            <w:r>
              <w:rPr>
                <w:rFonts w:hAnsiTheme="minorEastAsia" w:eastAsiaTheme="minorEastAsia"/>
                <w:kern w:val="0"/>
                <w:sz w:val="20"/>
              </w:rPr>
              <w:t>结果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eastAsiaTheme="minorEastAsia"/>
                <w:sz w:val="20"/>
              </w:rPr>
            </w:pPr>
            <w:r>
              <w:rPr>
                <w:rFonts w:hAnsiTheme="minorEastAsia" w:eastAsiaTheme="minorEastAsia"/>
                <w:kern w:val="0"/>
                <w:sz w:val="20"/>
              </w:rPr>
              <w:t>尚未</w:t>
            </w:r>
            <w:r>
              <w:rPr>
                <w:rFonts w:eastAsiaTheme="minorEastAsia"/>
                <w:kern w:val="0"/>
                <w:sz w:val="20"/>
              </w:rPr>
              <w:br w:type="textWrapping"/>
            </w:r>
            <w:r>
              <w:rPr>
                <w:rFonts w:hAnsiTheme="minorEastAsia" w:eastAsiaTheme="minorEastAsia"/>
                <w:kern w:val="0"/>
                <w:sz w:val="20"/>
              </w:rPr>
              <w:t>审结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eastAsiaTheme="minorEastAsia"/>
                <w:sz w:val="20"/>
              </w:rPr>
            </w:pPr>
            <w:r>
              <w:rPr>
                <w:rFonts w:hAnsiTheme="minorEastAsia" w:eastAsiaTheme="minorEastAsia"/>
                <w:color w:val="000000"/>
                <w:kern w:val="0"/>
                <w:sz w:val="20"/>
              </w:rPr>
              <w:t>总计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eastAsiaTheme="minorEastAsia"/>
                <w:sz w:val="20"/>
              </w:rPr>
            </w:pPr>
            <w:r>
              <w:rPr>
                <w:rFonts w:hAnsiTheme="minorEastAsia" w:eastAsiaTheme="minorEastAsia"/>
                <w:kern w:val="0"/>
                <w:sz w:val="20"/>
              </w:rPr>
              <w:t>结果</w:t>
            </w:r>
            <w:r>
              <w:rPr>
                <w:rFonts w:eastAsiaTheme="minorEastAsia"/>
                <w:kern w:val="0"/>
                <w:sz w:val="20"/>
              </w:rPr>
              <w:br w:type="textWrapping"/>
            </w:r>
            <w:r>
              <w:rPr>
                <w:rFonts w:hAnsiTheme="minorEastAsia" w:eastAsiaTheme="minorEastAsia"/>
                <w:kern w:val="0"/>
                <w:sz w:val="20"/>
              </w:rPr>
              <w:t>维持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eastAsiaTheme="minorEastAsia"/>
                <w:sz w:val="20"/>
              </w:rPr>
            </w:pPr>
            <w:r>
              <w:rPr>
                <w:rFonts w:hAnsiTheme="minorEastAsia" w:eastAsiaTheme="minorEastAsia"/>
                <w:kern w:val="0"/>
                <w:sz w:val="20"/>
              </w:rPr>
              <w:t>结果</w:t>
            </w:r>
            <w:r>
              <w:rPr>
                <w:rFonts w:eastAsiaTheme="minorEastAsia"/>
                <w:kern w:val="0"/>
                <w:sz w:val="20"/>
              </w:rPr>
              <w:br w:type="textWrapping"/>
            </w:r>
            <w:r>
              <w:rPr>
                <w:rFonts w:hAnsiTheme="minorEastAsia" w:eastAsiaTheme="minorEastAsia"/>
                <w:kern w:val="0"/>
                <w:sz w:val="20"/>
              </w:rPr>
              <w:t>纠正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eastAsiaTheme="minorEastAsia"/>
                <w:sz w:val="20"/>
              </w:rPr>
            </w:pPr>
            <w:r>
              <w:rPr>
                <w:rFonts w:hAnsiTheme="minorEastAsia" w:eastAsiaTheme="minorEastAsia"/>
                <w:color w:val="000000"/>
                <w:kern w:val="0"/>
                <w:sz w:val="20"/>
              </w:rPr>
              <w:t>其他</w:t>
            </w:r>
            <w:r>
              <w:rPr>
                <w:rFonts w:eastAsiaTheme="minorEastAsia"/>
                <w:color w:val="000000"/>
                <w:kern w:val="0"/>
                <w:sz w:val="20"/>
              </w:rPr>
              <w:br w:type="textWrapping"/>
            </w:r>
            <w:r>
              <w:rPr>
                <w:rFonts w:hAnsiTheme="minorEastAsia" w:eastAsiaTheme="minorEastAsia"/>
                <w:color w:val="000000"/>
                <w:kern w:val="0"/>
                <w:sz w:val="20"/>
              </w:rPr>
              <w:t>结果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eastAsiaTheme="minorEastAsia"/>
                <w:sz w:val="20"/>
              </w:rPr>
            </w:pPr>
            <w:r>
              <w:rPr>
                <w:rFonts w:hAnsiTheme="minorEastAsia" w:eastAsiaTheme="minorEastAsia"/>
                <w:kern w:val="0"/>
                <w:sz w:val="20"/>
              </w:rPr>
              <w:t>尚未</w:t>
            </w:r>
            <w:r>
              <w:rPr>
                <w:rFonts w:eastAsiaTheme="minorEastAsia"/>
                <w:kern w:val="0"/>
                <w:sz w:val="20"/>
              </w:rPr>
              <w:br w:type="textWrapping"/>
            </w:r>
            <w:r>
              <w:rPr>
                <w:rFonts w:hAnsiTheme="minorEastAsia" w:eastAsiaTheme="minorEastAsia"/>
                <w:kern w:val="0"/>
                <w:sz w:val="20"/>
              </w:rPr>
              <w:t>审结</w:t>
            </w:r>
          </w:p>
        </w:tc>
        <w:tc>
          <w:tcPr>
            <w:tcW w:w="65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hAnsiTheme="minorEastAsia" w:eastAsiaTheme="minorEastAsia"/>
                <w:color w:val="000000"/>
                <w:kern w:val="0"/>
                <w:sz w:val="24"/>
                <w:szCs w:val="24"/>
              </w:rPr>
              <w:t>总计</w:t>
            </w:r>
          </w:p>
        </w:tc>
      </w:tr>
      <w:tr>
        <w:tblPrEx>
          <w:tblBorders>
            <w:top w:val="none" w:color="auto" w:sz="6" w:space="0"/>
            <w:left w:val="none" w:color="auto" w:sz="6" w:space="0"/>
            <w:bottom w:val="none" w:color="auto" w:sz="6" w:space="0"/>
            <w:right w:val="none" w:color="auto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  <w:jc w:val="center"/>
        </w:trPr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kern w:val="0"/>
                <w:sz w:val="24"/>
                <w:szCs w:val="24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kern w:val="0"/>
                <w:sz w:val="24"/>
                <w:szCs w:val="24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kern w:val="0"/>
                <w:sz w:val="24"/>
                <w:szCs w:val="24"/>
              </w:rPr>
              <w:t>0</w:t>
            </w:r>
          </w:p>
        </w:tc>
        <w:tc>
          <w:tcPr>
            <w:tcW w:w="65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kern w:val="0"/>
                <w:sz w:val="24"/>
                <w:szCs w:val="24"/>
              </w:rPr>
              <w:t>0</w:t>
            </w:r>
          </w:p>
        </w:tc>
        <w:tc>
          <w:tcPr>
            <w:tcW w:w="64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kern w:val="0"/>
                <w:sz w:val="24"/>
                <w:szCs w:val="24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kern w:val="0"/>
                <w:sz w:val="24"/>
                <w:szCs w:val="24"/>
              </w:rPr>
              <w:t>0</w:t>
            </w:r>
          </w:p>
        </w:tc>
        <w:tc>
          <w:tcPr>
            <w:tcW w:w="64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kern w:val="0"/>
                <w:sz w:val="24"/>
                <w:szCs w:val="24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kern w:val="0"/>
                <w:sz w:val="24"/>
                <w:szCs w:val="24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kern w:val="0"/>
                <w:sz w:val="24"/>
                <w:szCs w:val="24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kern w:val="0"/>
                <w:sz w:val="24"/>
                <w:szCs w:val="24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kern w:val="0"/>
                <w:sz w:val="24"/>
                <w:szCs w:val="24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kern w:val="0"/>
                <w:sz w:val="24"/>
                <w:szCs w:val="24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kern w:val="0"/>
                <w:sz w:val="24"/>
                <w:szCs w:val="24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kern w:val="0"/>
                <w:sz w:val="24"/>
                <w:szCs w:val="24"/>
              </w:rPr>
              <w:t>0</w:t>
            </w:r>
          </w:p>
        </w:tc>
        <w:tc>
          <w:tcPr>
            <w:tcW w:w="65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108" w:type="dxa"/>
              <w:right w:w="108" w:type="dxa"/>
            </w:tcMar>
            <w:vAlign w:val="center"/>
          </w:tcPr>
          <w:p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</w:rPr>
              <w:t>0</w:t>
            </w:r>
          </w:p>
        </w:tc>
      </w:tr>
    </w:tbl>
    <w:p>
      <w:pPr>
        <w:pStyle w:val="13"/>
        <w:spacing w:before="120" w:beforeAutospacing="0" w:after="0" w:afterAutospacing="0" w:line="520" w:lineRule="exact"/>
        <w:ind w:firstLine="640" w:firstLineChars="200"/>
        <w:jc w:val="both"/>
        <w:rPr>
          <w:rFonts w:ascii="Times New Roman" w:hAnsi="Times New Roman" w:eastAsia="黑体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eastAsia="黑体"/>
          <w:color w:val="000000"/>
          <w:sz w:val="32"/>
          <w:szCs w:val="32"/>
          <w:shd w:val="clear" w:color="auto" w:fill="FFFFFF"/>
        </w:rPr>
        <w:t>五、存在的主要问题及改进情况</w:t>
      </w:r>
    </w:p>
    <w:p>
      <w:pPr>
        <w:spacing w:line="560" w:lineRule="exact"/>
        <w:ind w:firstLine="640" w:firstLineChars="200"/>
        <w:rPr>
          <w:rFonts w:hint="default" w:eastAsia="仿宋_GB2312"/>
          <w:szCs w:val="32"/>
          <w:lang w:val="en-US" w:eastAsia="zh-CN"/>
        </w:rPr>
      </w:pPr>
      <w:r>
        <w:rPr>
          <w:rFonts w:hint="eastAsia"/>
          <w:szCs w:val="32"/>
          <w:lang w:val="en-US" w:eastAsia="zh-CN"/>
        </w:rPr>
        <w:t>2023年，我局的政府信息公开工作从整体来看，运行状况良好，但也存在着有待进一步完善的地方：</w:t>
      </w:r>
      <w:r>
        <w:rPr>
          <w:rFonts w:hint="eastAsia"/>
          <w:b/>
          <w:bCs/>
          <w:szCs w:val="32"/>
          <w:lang w:val="en-US" w:eastAsia="zh-CN"/>
        </w:rPr>
        <w:t>一是</w:t>
      </w:r>
      <w:r>
        <w:rPr>
          <w:rFonts w:hint="eastAsia"/>
          <w:szCs w:val="32"/>
          <w:lang w:val="en-US" w:eastAsia="zh-CN"/>
        </w:rPr>
        <w:t>对信息公开的内容有待进一步完善；</w:t>
      </w:r>
      <w:r>
        <w:rPr>
          <w:rFonts w:hint="eastAsia"/>
          <w:b/>
          <w:bCs/>
          <w:szCs w:val="32"/>
          <w:lang w:val="en-US" w:eastAsia="zh-CN"/>
        </w:rPr>
        <w:t>二是</w:t>
      </w:r>
      <w:r>
        <w:rPr>
          <w:rFonts w:hint="eastAsia"/>
          <w:szCs w:val="32"/>
          <w:lang w:val="en-US" w:eastAsia="zh-CN"/>
        </w:rPr>
        <w:t>对政府信息公开平台的建设有待进一步增强；</w:t>
      </w:r>
      <w:r>
        <w:rPr>
          <w:rFonts w:hint="eastAsia"/>
          <w:b/>
          <w:bCs/>
          <w:szCs w:val="32"/>
          <w:lang w:val="en-US" w:eastAsia="zh-CN"/>
        </w:rPr>
        <w:t>三是</w:t>
      </w:r>
      <w:r>
        <w:rPr>
          <w:rFonts w:hint="eastAsia"/>
          <w:szCs w:val="32"/>
          <w:lang w:val="en-US" w:eastAsia="zh-CN"/>
        </w:rPr>
        <w:t>信息更新不够及时；</w:t>
      </w:r>
      <w:r>
        <w:rPr>
          <w:rFonts w:hint="eastAsia"/>
          <w:b/>
          <w:bCs/>
          <w:szCs w:val="32"/>
          <w:lang w:val="en-US" w:eastAsia="zh-CN"/>
        </w:rPr>
        <w:t>四是</w:t>
      </w:r>
      <w:r>
        <w:rPr>
          <w:szCs w:val="32"/>
        </w:rPr>
        <w:t>工作人员</w:t>
      </w:r>
      <w:r>
        <w:rPr>
          <w:rFonts w:hint="eastAsia"/>
          <w:szCs w:val="32"/>
          <w:lang w:eastAsia="zh-CN"/>
        </w:rPr>
        <w:t>对</w:t>
      </w:r>
      <w:r>
        <w:rPr>
          <w:szCs w:val="32"/>
        </w:rPr>
        <w:t>信息公开的主动性和自觉性</w:t>
      </w:r>
      <w:r>
        <w:rPr>
          <w:rFonts w:hint="eastAsia"/>
          <w:szCs w:val="32"/>
          <w:lang w:eastAsia="zh-CN"/>
        </w:rPr>
        <w:t>不足。</w:t>
      </w:r>
    </w:p>
    <w:p>
      <w:pPr>
        <w:spacing w:line="560" w:lineRule="exact"/>
        <w:ind w:firstLine="640" w:firstLineChars="200"/>
        <w:rPr>
          <w:rFonts w:hint="eastAsia" w:eastAsia="仿宋_GB2312"/>
          <w:szCs w:val="32"/>
          <w:lang w:eastAsia="zh-CN"/>
        </w:rPr>
      </w:pPr>
      <w:r>
        <w:rPr>
          <w:rFonts w:hint="eastAsia"/>
          <w:b w:val="0"/>
          <w:bCs/>
          <w:szCs w:val="32"/>
          <w:lang w:eastAsia="zh-CN"/>
        </w:rPr>
        <w:t>针对上述问题，我局将进一步贯彻落实《条例》，大力推进政府信息公开工作，严格按照要求，进一步完善规范建设政务公开专区，采购</w:t>
      </w:r>
      <w:r>
        <w:rPr>
          <w:rFonts w:hint="eastAsia"/>
          <w:b w:val="0"/>
          <w:bCs/>
          <w:szCs w:val="32"/>
          <w:lang w:val="en-US" w:eastAsia="zh-CN"/>
        </w:rPr>
        <w:t>LED展示屏，建设专区特色文化墙</w:t>
      </w:r>
      <w:r>
        <w:rPr>
          <w:rFonts w:hint="eastAsia"/>
          <w:b w:val="0"/>
          <w:bCs/>
          <w:szCs w:val="32"/>
          <w:lang w:eastAsia="zh-CN"/>
        </w:rPr>
        <w:t>，动员各科室参与信息公开工作，加快信息公布的时效性和多样性。</w:t>
      </w:r>
    </w:p>
    <w:p>
      <w:pPr>
        <w:pStyle w:val="13"/>
        <w:spacing w:before="120" w:beforeAutospacing="0" w:after="0" w:afterAutospacing="0" w:line="520" w:lineRule="exact"/>
        <w:ind w:firstLine="640"/>
        <w:jc w:val="both"/>
        <w:rPr>
          <w:rFonts w:ascii="Times New Roman" w:hAnsi="Times New Roman"/>
        </w:rPr>
      </w:pPr>
      <w:r>
        <w:rPr>
          <w:rFonts w:ascii="Times New Roman" w:hAnsi="Times New Roman" w:eastAsia="黑体"/>
          <w:color w:val="000000"/>
          <w:sz w:val="32"/>
          <w:szCs w:val="32"/>
          <w:shd w:val="clear" w:color="auto" w:fill="FFFFFF"/>
        </w:rPr>
        <w:t>六、其他需要报告的事项</w:t>
      </w:r>
    </w:p>
    <w:p>
      <w:pPr>
        <w:widowControl/>
        <w:spacing w:before="120" w:line="520" w:lineRule="exact"/>
        <w:ind w:firstLine="640"/>
        <w:jc w:val="left"/>
        <w:rPr>
          <w:color w:val="000000"/>
          <w:kern w:val="0"/>
          <w:szCs w:val="32"/>
          <w:shd w:val="clear" w:color="auto" w:fill="FFFFFF"/>
        </w:rPr>
      </w:pPr>
      <w:r>
        <w:rPr>
          <w:color w:val="000000"/>
          <w:kern w:val="0"/>
          <w:szCs w:val="32"/>
          <w:shd w:val="clear" w:color="auto" w:fill="FFFFFF"/>
        </w:rPr>
        <w:t>本年度没有其他需要报告的事项。</w:t>
      </w:r>
      <w:r>
        <w:rPr>
          <w:rFonts w:hint="eastAsia"/>
          <w:color w:val="000000"/>
          <w:kern w:val="0"/>
          <w:szCs w:val="32"/>
          <w:shd w:val="clear" w:color="auto" w:fill="FFFFFF"/>
          <w:lang w:val="en-US" w:eastAsia="zh-CN"/>
        </w:rPr>
        <w:t xml:space="preserve"> </w:t>
      </w:r>
    </w:p>
    <w:p>
      <w:pPr>
        <w:widowControl/>
        <w:spacing w:before="120" w:line="520" w:lineRule="exact"/>
        <w:ind w:firstLine="640"/>
        <w:jc w:val="left"/>
        <w:rPr>
          <w:color w:val="000000"/>
          <w:kern w:val="0"/>
          <w:szCs w:val="32"/>
          <w:shd w:val="clear" w:color="auto" w:fill="FFFFFF"/>
        </w:rPr>
      </w:pPr>
    </w:p>
    <w:p>
      <w:pPr>
        <w:widowControl/>
        <w:spacing w:before="120" w:line="520" w:lineRule="exact"/>
        <w:ind w:firstLine="640"/>
        <w:jc w:val="left"/>
        <w:rPr>
          <w:color w:val="000000"/>
          <w:kern w:val="0"/>
          <w:szCs w:val="32"/>
          <w:shd w:val="clear" w:color="auto" w:fill="FFFFFF"/>
        </w:rPr>
      </w:pPr>
    </w:p>
    <w:p>
      <w:pPr>
        <w:widowControl/>
        <w:spacing w:before="120" w:line="520" w:lineRule="exact"/>
        <w:jc w:val="left"/>
        <w:rPr>
          <w:rFonts w:hint="eastAsia"/>
          <w:color w:val="000000"/>
          <w:kern w:val="0"/>
          <w:szCs w:val="32"/>
          <w:shd w:val="clear" w:color="auto" w:fill="FFFFFF"/>
          <w:lang w:val="en-US" w:eastAsia="zh-CN"/>
        </w:rPr>
      </w:pPr>
      <w:r>
        <w:rPr>
          <w:rFonts w:hint="eastAsia"/>
          <w:color w:val="000000"/>
          <w:kern w:val="0"/>
          <w:szCs w:val="32"/>
          <w:shd w:val="clear" w:color="auto" w:fill="FFFFFF"/>
          <w:lang w:val="en-US" w:eastAsia="zh-CN"/>
        </w:rPr>
        <w:t xml:space="preserve">                                 晋江市农业农村局</w:t>
      </w:r>
    </w:p>
    <w:p>
      <w:pPr>
        <w:widowControl/>
        <w:spacing w:before="120" w:line="520" w:lineRule="exact"/>
        <w:jc w:val="left"/>
        <w:rPr>
          <w:rFonts w:hint="default"/>
          <w:color w:val="000000"/>
          <w:kern w:val="0"/>
          <w:szCs w:val="32"/>
          <w:shd w:val="clear" w:color="auto" w:fill="FFFFFF"/>
          <w:lang w:val="en-US" w:eastAsia="zh-CN"/>
        </w:rPr>
      </w:pPr>
      <w:r>
        <w:rPr>
          <w:rFonts w:hint="eastAsia"/>
          <w:color w:val="000000"/>
          <w:kern w:val="0"/>
          <w:szCs w:val="32"/>
          <w:shd w:val="clear" w:color="auto" w:fill="FFFFFF"/>
          <w:lang w:val="en-US" w:eastAsia="zh-CN"/>
        </w:rPr>
        <w:t xml:space="preserve">                                  2024年1月5日    </w:t>
      </w:r>
    </w:p>
    <w:p>
      <w:pPr>
        <w:widowControl/>
        <w:spacing w:before="120" w:line="520" w:lineRule="exact"/>
        <w:ind w:firstLine="640"/>
        <w:jc w:val="left"/>
        <w:rPr>
          <w:rFonts w:hint="default"/>
          <w:color w:val="000000"/>
          <w:kern w:val="0"/>
          <w:szCs w:val="32"/>
          <w:shd w:val="clear" w:color="auto" w:fill="FFFFFF"/>
          <w:lang w:val="en-US" w:eastAsia="zh-CN"/>
        </w:rPr>
      </w:pPr>
      <w:r>
        <w:rPr>
          <w:rFonts w:hint="eastAsia"/>
          <w:color w:val="000000"/>
          <w:kern w:val="0"/>
          <w:szCs w:val="32"/>
          <w:shd w:val="clear" w:color="auto" w:fill="FFFFFF"/>
          <w:lang w:val="en-US" w:eastAsia="zh-CN"/>
        </w:rPr>
        <w:t xml:space="preserve"> </w:t>
      </w:r>
    </w:p>
    <w:sectPr>
      <w:headerReference r:id="rId3" w:type="default"/>
      <w:footerReference r:id="rId4" w:type="default"/>
      <w:footerReference r:id="rId5" w:type="even"/>
      <w:pgSz w:w="11906" w:h="16838"/>
      <w:pgMar w:top="1985" w:right="1474" w:bottom="1985" w:left="1644" w:header="851" w:footer="1247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right="360"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99060</wp:posOffset>
              </wp:positionV>
              <wp:extent cx="1828800" cy="1828800"/>
              <wp:effectExtent l="0" t="0" r="0" b="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9"/>
                            <w:jc w:val="center"/>
                            <w:rPr>
                              <w:rStyle w:val="18"/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18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Style w:val="18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18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Style w:val="18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18"/>
                              <w:sz w:val="28"/>
                              <w:szCs w:val="28"/>
                            </w:rPr>
                            <w:t>5</w:t>
                          </w:r>
                          <w:r>
                            <w:rPr>
                              <w:rStyle w:val="18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Style w:val="18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7.8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VZv/WNQAAAAHAQAADwAAAAAAAAABACAAAAAiAAAAZHJzL2Rvd25yZXYu&#10;eG1sUEsBAhQAFAAAAAgAh07iQKyX96c4AgAAbwQAAA4AAAAAAAAAAQAgAAAAIw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jc w:val="center"/>
                      <w:rPr>
                        <w:rStyle w:val="18"/>
                        <w:sz w:val="28"/>
                        <w:szCs w:val="28"/>
                      </w:rPr>
                    </w:pPr>
                    <w:r>
                      <w:rPr>
                        <w:rStyle w:val="18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Style w:val="18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18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Style w:val="18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18"/>
                        <w:sz w:val="28"/>
                        <w:szCs w:val="28"/>
                      </w:rPr>
                      <w:t>5</w:t>
                    </w:r>
                    <w:r>
                      <w:rPr>
                        <w:rStyle w:val="18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Style w:val="18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framePr w:w="1675" w:wrap="around" w:vAnchor="text" w:hAnchor="margin" w:xAlign="outside" w:yAlign="top"/>
      <w:jc w:val="center"/>
      <w:rPr>
        <w:rStyle w:val="18"/>
        <w:sz w:val="28"/>
        <w:szCs w:val="28"/>
      </w:rPr>
    </w:pPr>
    <w:r>
      <w:rPr>
        <w:rStyle w:val="18"/>
        <w:sz w:val="28"/>
        <w:szCs w:val="28"/>
      </w:rPr>
      <w:t xml:space="preserve">— </w:t>
    </w:r>
    <w:r>
      <w:rPr>
        <w:rStyle w:val="18"/>
        <w:sz w:val="28"/>
        <w:szCs w:val="28"/>
      </w:rPr>
      <w:fldChar w:fldCharType="begin"/>
    </w:r>
    <w:r>
      <w:rPr>
        <w:rStyle w:val="18"/>
        <w:sz w:val="28"/>
        <w:szCs w:val="28"/>
      </w:rPr>
      <w:instrText xml:space="preserve">PAGE  </w:instrText>
    </w:r>
    <w:r>
      <w:rPr>
        <w:rStyle w:val="18"/>
        <w:sz w:val="28"/>
        <w:szCs w:val="28"/>
      </w:rPr>
      <w:fldChar w:fldCharType="separate"/>
    </w:r>
    <w:r>
      <w:rPr>
        <w:rStyle w:val="18"/>
        <w:sz w:val="28"/>
        <w:szCs w:val="28"/>
      </w:rPr>
      <w:t>8</w:t>
    </w:r>
    <w:r>
      <w:rPr>
        <w:rStyle w:val="18"/>
        <w:sz w:val="28"/>
        <w:szCs w:val="28"/>
      </w:rPr>
      <w:fldChar w:fldCharType="end"/>
    </w:r>
    <w:r>
      <w:rPr>
        <w:rStyle w:val="18"/>
        <w:sz w:val="28"/>
        <w:szCs w:val="28"/>
      </w:rPr>
      <w:t xml:space="preserve"> —</w:t>
    </w:r>
  </w:p>
  <w:p>
    <w:pPr>
      <w:pStyle w:val="9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A97F5E"/>
    <w:multiLevelType w:val="singleLevel"/>
    <w:tmpl w:val="D3A97F5E"/>
    <w:lvl w:ilvl="0" w:tentative="0">
      <w:start w:val="4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00000011"/>
    <w:multiLevelType w:val="multilevel"/>
    <w:tmpl w:val="00000011"/>
    <w:lvl w:ilvl="0" w:tentative="0">
      <w:start w:val="1"/>
      <w:numFmt w:val="japaneseCounting"/>
      <w:pStyle w:val="43"/>
      <w:lvlText w:val="%1、"/>
      <w:lvlJc w:val="left"/>
      <w:pPr>
        <w:tabs>
          <w:tab w:val="left" w:pos="1360"/>
        </w:tabs>
        <w:ind w:left="1360" w:hanging="72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tabs>
          <w:tab w:val="left" w:pos="1480"/>
        </w:tabs>
        <w:ind w:left="148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1900"/>
        </w:tabs>
        <w:ind w:left="190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320"/>
        </w:tabs>
        <w:ind w:left="232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740"/>
        </w:tabs>
        <w:ind w:left="274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3160"/>
        </w:tabs>
        <w:ind w:left="316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3580"/>
        </w:tabs>
        <w:ind w:left="358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4000"/>
        </w:tabs>
        <w:ind w:left="400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4420"/>
        </w:tabs>
        <w:ind w:left="442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gutterAtTop/>
  <w:attachedTemplate r:id="rId1"/>
  <w:documentProtection w:enforcement="0"/>
  <w:defaultTabStop w:val="425"/>
  <w:drawingGridHorizontalSpacing w:val="160"/>
  <w:drawingGridVerticalSpacing w:val="60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M5NGE2Njg4MmU0NzUyM2ZiYWZjNmFmOWMxYTI1MzEifQ=="/>
  </w:docVars>
  <w:rsids>
    <w:rsidRoot w:val="00172A27"/>
    <w:rsid w:val="000210DE"/>
    <w:rsid w:val="00026FE0"/>
    <w:rsid w:val="0002795F"/>
    <w:rsid w:val="00053332"/>
    <w:rsid w:val="0005751A"/>
    <w:rsid w:val="00073A42"/>
    <w:rsid w:val="0007625E"/>
    <w:rsid w:val="000C36CA"/>
    <w:rsid w:val="000D21A8"/>
    <w:rsid w:val="000F5498"/>
    <w:rsid w:val="00106F79"/>
    <w:rsid w:val="0011405D"/>
    <w:rsid w:val="00117111"/>
    <w:rsid w:val="0012666B"/>
    <w:rsid w:val="00127888"/>
    <w:rsid w:val="0013071C"/>
    <w:rsid w:val="001358A4"/>
    <w:rsid w:val="00146155"/>
    <w:rsid w:val="00172A27"/>
    <w:rsid w:val="00174E68"/>
    <w:rsid w:val="00194433"/>
    <w:rsid w:val="0019671F"/>
    <w:rsid w:val="001B5C6F"/>
    <w:rsid w:val="001D7F4C"/>
    <w:rsid w:val="001E4EB7"/>
    <w:rsid w:val="002118DE"/>
    <w:rsid w:val="00232494"/>
    <w:rsid w:val="00264E71"/>
    <w:rsid w:val="0027128D"/>
    <w:rsid w:val="00282CCB"/>
    <w:rsid w:val="002833B6"/>
    <w:rsid w:val="00293DB4"/>
    <w:rsid w:val="002966BD"/>
    <w:rsid w:val="002E17E2"/>
    <w:rsid w:val="002E41C2"/>
    <w:rsid w:val="002E5351"/>
    <w:rsid w:val="002F4584"/>
    <w:rsid w:val="003022DF"/>
    <w:rsid w:val="00314BE7"/>
    <w:rsid w:val="00322DBA"/>
    <w:rsid w:val="00340CED"/>
    <w:rsid w:val="0034597E"/>
    <w:rsid w:val="003501D1"/>
    <w:rsid w:val="00352042"/>
    <w:rsid w:val="00364F4D"/>
    <w:rsid w:val="00373AF6"/>
    <w:rsid w:val="003C765C"/>
    <w:rsid w:val="003E1259"/>
    <w:rsid w:val="003F447B"/>
    <w:rsid w:val="004072FD"/>
    <w:rsid w:val="004309A6"/>
    <w:rsid w:val="0047596E"/>
    <w:rsid w:val="00477B88"/>
    <w:rsid w:val="0048367F"/>
    <w:rsid w:val="00490D13"/>
    <w:rsid w:val="004A5F35"/>
    <w:rsid w:val="004B7953"/>
    <w:rsid w:val="004C1CDC"/>
    <w:rsid w:val="004C5E97"/>
    <w:rsid w:val="004C7809"/>
    <w:rsid w:val="004D2426"/>
    <w:rsid w:val="0051360F"/>
    <w:rsid w:val="00515617"/>
    <w:rsid w:val="00525036"/>
    <w:rsid w:val="0053743E"/>
    <w:rsid w:val="00543649"/>
    <w:rsid w:val="005D70FF"/>
    <w:rsid w:val="005E5EB3"/>
    <w:rsid w:val="00621723"/>
    <w:rsid w:val="006337A6"/>
    <w:rsid w:val="0065230E"/>
    <w:rsid w:val="0066010D"/>
    <w:rsid w:val="00662B09"/>
    <w:rsid w:val="0066516C"/>
    <w:rsid w:val="00685CB3"/>
    <w:rsid w:val="00686F19"/>
    <w:rsid w:val="006A1D99"/>
    <w:rsid w:val="006E442E"/>
    <w:rsid w:val="006E6B12"/>
    <w:rsid w:val="00716B2A"/>
    <w:rsid w:val="00731298"/>
    <w:rsid w:val="00733E59"/>
    <w:rsid w:val="0075093A"/>
    <w:rsid w:val="0075676F"/>
    <w:rsid w:val="00785E9E"/>
    <w:rsid w:val="007B4AFA"/>
    <w:rsid w:val="007B68AA"/>
    <w:rsid w:val="007C1CF6"/>
    <w:rsid w:val="007D1712"/>
    <w:rsid w:val="007E293A"/>
    <w:rsid w:val="007E2C5B"/>
    <w:rsid w:val="007F5E45"/>
    <w:rsid w:val="0082544E"/>
    <w:rsid w:val="00836A7A"/>
    <w:rsid w:val="008543AC"/>
    <w:rsid w:val="0085474A"/>
    <w:rsid w:val="00866037"/>
    <w:rsid w:val="00881A2F"/>
    <w:rsid w:val="00885CC8"/>
    <w:rsid w:val="008A600D"/>
    <w:rsid w:val="008B0E00"/>
    <w:rsid w:val="008E233F"/>
    <w:rsid w:val="008F128C"/>
    <w:rsid w:val="009070A2"/>
    <w:rsid w:val="0091322F"/>
    <w:rsid w:val="00927E86"/>
    <w:rsid w:val="00954475"/>
    <w:rsid w:val="00974C47"/>
    <w:rsid w:val="00994567"/>
    <w:rsid w:val="009A5872"/>
    <w:rsid w:val="009C0603"/>
    <w:rsid w:val="009C6720"/>
    <w:rsid w:val="009F25FB"/>
    <w:rsid w:val="00A57AB7"/>
    <w:rsid w:val="00A73D55"/>
    <w:rsid w:val="00A96BD7"/>
    <w:rsid w:val="00AE6E84"/>
    <w:rsid w:val="00B109A5"/>
    <w:rsid w:val="00B5059A"/>
    <w:rsid w:val="00B60ECA"/>
    <w:rsid w:val="00B66A8B"/>
    <w:rsid w:val="00B74F6B"/>
    <w:rsid w:val="00B811DF"/>
    <w:rsid w:val="00B8539C"/>
    <w:rsid w:val="00BF59DE"/>
    <w:rsid w:val="00C12A89"/>
    <w:rsid w:val="00C22B0D"/>
    <w:rsid w:val="00C51B57"/>
    <w:rsid w:val="00C54BF7"/>
    <w:rsid w:val="00C72EE5"/>
    <w:rsid w:val="00C92F54"/>
    <w:rsid w:val="00CA7A64"/>
    <w:rsid w:val="00CB7BA0"/>
    <w:rsid w:val="00CE2AD9"/>
    <w:rsid w:val="00CE3102"/>
    <w:rsid w:val="00D05532"/>
    <w:rsid w:val="00D05D26"/>
    <w:rsid w:val="00D112D5"/>
    <w:rsid w:val="00D154E4"/>
    <w:rsid w:val="00D361D9"/>
    <w:rsid w:val="00D4242D"/>
    <w:rsid w:val="00D42FAC"/>
    <w:rsid w:val="00D55B96"/>
    <w:rsid w:val="00D631AA"/>
    <w:rsid w:val="00D67842"/>
    <w:rsid w:val="00D71EE6"/>
    <w:rsid w:val="00D732A0"/>
    <w:rsid w:val="00D77E92"/>
    <w:rsid w:val="00D90D5A"/>
    <w:rsid w:val="00D9557D"/>
    <w:rsid w:val="00DA58D5"/>
    <w:rsid w:val="00DD6CA3"/>
    <w:rsid w:val="00DE6B75"/>
    <w:rsid w:val="00DE7C02"/>
    <w:rsid w:val="00E12370"/>
    <w:rsid w:val="00E36043"/>
    <w:rsid w:val="00E7477B"/>
    <w:rsid w:val="00E913AB"/>
    <w:rsid w:val="00E917FC"/>
    <w:rsid w:val="00E92D30"/>
    <w:rsid w:val="00EA1EE2"/>
    <w:rsid w:val="00F03C86"/>
    <w:rsid w:val="00F0573F"/>
    <w:rsid w:val="00F06724"/>
    <w:rsid w:val="00F37A06"/>
    <w:rsid w:val="00F53CC1"/>
    <w:rsid w:val="00FE6901"/>
    <w:rsid w:val="00FF4A49"/>
    <w:rsid w:val="01EF7945"/>
    <w:rsid w:val="02DB562D"/>
    <w:rsid w:val="05317B49"/>
    <w:rsid w:val="063501B2"/>
    <w:rsid w:val="07D15125"/>
    <w:rsid w:val="08437670"/>
    <w:rsid w:val="09255476"/>
    <w:rsid w:val="0ACC476B"/>
    <w:rsid w:val="0F853011"/>
    <w:rsid w:val="13705615"/>
    <w:rsid w:val="17051A73"/>
    <w:rsid w:val="19B43BD3"/>
    <w:rsid w:val="1A0A1061"/>
    <w:rsid w:val="1B7B197C"/>
    <w:rsid w:val="1CD773CD"/>
    <w:rsid w:val="1F034648"/>
    <w:rsid w:val="220E35B2"/>
    <w:rsid w:val="22FD7E07"/>
    <w:rsid w:val="23A914E5"/>
    <w:rsid w:val="28BC08BC"/>
    <w:rsid w:val="2C5D4156"/>
    <w:rsid w:val="2C630D97"/>
    <w:rsid w:val="2D476BB2"/>
    <w:rsid w:val="2EA45035"/>
    <w:rsid w:val="2F9E288B"/>
    <w:rsid w:val="3192208E"/>
    <w:rsid w:val="324E75EC"/>
    <w:rsid w:val="35353827"/>
    <w:rsid w:val="36E932E7"/>
    <w:rsid w:val="3E917D07"/>
    <w:rsid w:val="4251142E"/>
    <w:rsid w:val="426D40CB"/>
    <w:rsid w:val="43E026B8"/>
    <w:rsid w:val="45516873"/>
    <w:rsid w:val="48326FA9"/>
    <w:rsid w:val="4ABB679B"/>
    <w:rsid w:val="4D3D3934"/>
    <w:rsid w:val="4F522B51"/>
    <w:rsid w:val="50665BE5"/>
    <w:rsid w:val="508C4783"/>
    <w:rsid w:val="510E0261"/>
    <w:rsid w:val="52455F83"/>
    <w:rsid w:val="54F2189F"/>
    <w:rsid w:val="581C5EC0"/>
    <w:rsid w:val="5A812DF8"/>
    <w:rsid w:val="5A81336D"/>
    <w:rsid w:val="5DD4255E"/>
    <w:rsid w:val="5F442CB9"/>
    <w:rsid w:val="61B339A2"/>
    <w:rsid w:val="64BF3B4E"/>
    <w:rsid w:val="6CAF6226"/>
    <w:rsid w:val="6D5A06B7"/>
    <w:rsid w:val="6E683131"/>
    <w:rsid w:val="6F1D1EF8"/>
    <w:rsid w:val="71E864BC"/>
    <w:rsid w:val="731D5BEB"/>
    <w:rsid w:val="73BE4472"/>
    <w:rsid w:val="742F6F26"/>
    <w:rsid w:val="7A0E7242"/>
    <w:rsid w:val="7E203BE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nhideWhenUsed="0" w:uiPriority="99" w:semiHidden="0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99" w:semiHidden="0" w:name="Body Text 2"/>
    <w:lsdException w:uiPriority="99" w:name="Body Text 3"/>
    <w:lsdException w:qFormat="1" w:unhideWhenUsed="0" w:uiPriority="99" w:semiHidden="0" w:name="Body Text Indent 2"/>
    <w:lsdException w:qFormat="1" w:unhideWhenUsed="0" w:uiPriority="99" w:semiHidden="0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qFormat="1" w:unhideWhenUsed="0" w:uiPriority="99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99"/>
    <w:pPr>
      <w:ind w:firstLine="420" w:firstLineChars="200"/>
    </w:pPr>
    <w:rPr>
      <w:rFonts w:eastAsia="宋体"/>
      <w:sz w:val="21"/>
      <w:szCs w:val="24"/>
    </w:rPr>
  </w:style>
  <w:style w:type="paragraph" w:styleId="3">
    <w:name w:val="Body Text"/>
    <w:basedOn w:val="1"/>
    <w:link w:val="33"/>
    <w:qFormat/>
    <w:uiPriority w:val="99"/>
    <w:pPr>
      <w:spacing w:after="120"/>
    </w:pPr>
  </w:style>
  <w:style w:type="paragraph" w:styleId="4">
    <w:name w:val="Body Text Indent"/>
    <w:basedOn w:val="1"/>
    <w:link w:val="25"/>
    <w:qFormat/>
    <w:uiPriority w:val="99"/>
    <w:pPr>
      <w:ind w:firstLine="585"/>
    </w:pPr>
    <w:rPr>
      <w:rFonts w:ascii="仿宋_GB2312"/>
    </w:rPr>
  </w:style>
  <w:style w:type="paragraph" w:styleId="5">
    <w:name w:val="Plain Text"/>
    <w:basedOn w:val="1"/>
    <w:link w:val="34"/>
    <w:qFormat/>
    <w:uiPriority w:val="99"/>
    <w:rPr>
      <w:rFonts w:ascii="宋体" w:hAnsi="Courier New" w:eastAsia="宋体"/>
      <w:spacing w:val="-20"/>
      <w:sz w:val="21"/>
    </w:rPr>
  </w:style>
  <w:style w:type="paragraph" w:styleId="6">
    <w:name w:val="Date"/>
    <w:basedOn w:val="1"/>
    <w:next w:val="1"/>
    <w:link w:val="28"/>
    <w:qFormat/>
    <w:uiPriority w:val="99"/>
    <w:rPr>
      <w:rFonts w:ascii="仿宋_GB2312"/>
    </w:rPr>
  </w:style>
  <w:style w:type="paragraph" w:styleId="7">
    <w:name w:val="Body Text Indent 2"/>
    <w:basedOn w:val="1"/>
    <w:link w:val="30"/>
    <w:qFormat/>
    <w:uiPriority w:val="99"/>
    <w:pPr>
      <w:spacing w:after="120" w:line="480" w:lineRule="auto"/>
      <w:ind w:left="420" w:leftChars="200"/>
    </w:pPr>
  </w:style>
  <w:style w:type="paragraph" w:styleId="8">
    <w:name w:val="Balloon Text"/>
    <w:basedOn w:val="1"/>
    <w:link w:val="32"/>
    <w:qFormat/>
    <w:uiPriority w:val="99"/>
    <w:rPr>
      <w:sz w:val="18"/>
      <w:szCs w:val="18"/>
    </w:rPr>
  </w:style>
  <w:style w:type="paragraph" w:styleId="9">
    <w:name w:val="footer"/>
    <w:basedOn w:val="1"/>
    <w:link w:val="3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link w:val="2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11">
    <w:name w:val="Body Text Indent 3"/>
    <w:basedOn w:val="1"/>
    <w:link w:val="26"/>
    <w:qFormat/>
    <w:uiPriority w:val="99"/>
    <w:pPr>
      <w:spacing w:after="120"/>
      <w:ind w:left="420" w:leftChars="200"/>
    </w:pPr>
    <w:rPr>
      <w:sz w:val="16"/>
    </w:rPr>
  </w:style>
  <w:style w:type="paragraph" w:styleId="12">
    <w:name w:val="Body Text 2"/>
    <w:basedOn w:val="1"/>
    <w:link w:val="29"/>
    <w:qFormat/>
    <w:uiPriority w:val="99"/>
    <w:pPr>
      <w:spacing w:after="120" w:line="480" w:lineRule="auto"/>
    </w:pPr>
  </w:style>
  <w:style w:type="paragraph" w:styleId="13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/>
      <w:kern w:val="0"/>
      <w:sz w:val="24"/>
      <w:szCs w:val="24"/>
    </w:rPr>
  </w:style>
  <w:style w:type="table" w:styleId="15">
    <w:name w:val="Table Grid"/>
    <w:basedOn w:val="14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99"/>
    <w:rPr>
      <w:rFonts w:cs="Times New Roman"/>
      <w:b/>
      <w:bCs/>
    </w:rPr>
  </w:style>
  <w:style w:type="character" w:styleId="18">
    <w:name w:val="page number"/>
    <w:basedOn w:val="16"/>
    <w:qFormat/>
    <w:uiPriority w:val="99"/>
    <w:rPr>
      <w:rFonts w:cs="Times New Roman"/>
    </w:rPr>
  </w:style>
  <w:style w:type="character" w:styleId="19">
    <w:name w:val="Hyperlink"/>
    <w:basedOn w:val="16"/>
    <w:qFormat/>
    <w:uiPriority w:val="99"/>
    <w:rPr>
      <w:rFonts w:cs="Times New Roman"/>
      <w:color w:val="0000FF"/>
      <w:u w:val="single"/>
    </w:rPr>
  </w:style>
  <w:style w:type="character" w:customStyle="1" w:styleId="20">
    <w:name w:val="Header Char"/>
    <w:qFormat/>
    <w:locked/>
    <w:uiPriority w:val="99"/>
    <w:rPr>
      <w:rFonts w:eastAsia="仿宋_GB2312"/>
      <w:kern w:val="2"/>
      <w:sz w:val="18"/>
    </w:rPr>
  </w:style>
  <w:style w:type="character" w:customStyle="1" w:styleId="21">
    <w:name w:val="无间隔 Char"/>
    <w:link w:val="22"/>
    <w:qFormat/>
    <w:locked/>
    <w:uiPriority w:val="99"/>
    <w:rPr>
      <w:rFonts w:ascii="Calibri" w:hAnsi="Calibri"/>
      <w:sz w:val="22"/>
      <w:lang w:val="en-US" w:eastAsia="zh-CN"/>
    </w:rPr>
  </w:style>
  <w:style w:type="paragraph" w:customStyle="1" w:styleId="22">
    <w:name w:val="无间隔1"/>
    <w:link w:val="21"/>
    <w:qFormat/>
    <w:uiPriority w:val="99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23">
    <w:name w:val="Plain Text Char"/>
    <w:qFormat/>
    <w:locked/>
    <w:uiPriority w:val="99"/>
    <w:rPr>
      <w:rFonts w:ascii="宋体" w:hAnsi="Courier New"/>
      <w:spacing w:val="-20"/>
      <w:kern w:val="2"/>
      <w:sz w:val="21"/>
    </w:rPr>
  </w:style>
  <w:style w:type="character" w:customStyle="1" w:styleId="24">
    <w:name w:val="Body Text Indent 3 Char"/>
    <w:qFormat/>
    <w:locked/>
    <w:uiPriority w:val="99"/>
    <w:rPr>
      <w:rFonts w:eastAsia="仿宋_GB2312"/>
      <w:kern w:val="2"/>
      <w:sz w:val="16"/>
    </w:rPr>
  </w:style>
  <w:style w:type="character" w:customStyle="1" w:styleId="25">
    <w:name w:val="正文文本缩进 Char"/>
    <w:basedOn w:val="16"/>
    <w:link w:val="4"/>
    <w:semiHidden/>
    <w:qFormat/>
    <w:locked/>
    <w:uiPriority w:val="99"/>
    <w:rPr>
      <w:rFonts w:eastAsia="仿宋_GB2312" w:cs="Times New Roman"/>
      <w:sz w:val="20"/>
      <w:szCs w:val="20"/>
    </w:rPr>
  </w:style>
  <w:style w:type="character" w:customStyle="1" w:styleId="26">
    <w:name w:val="正文文本缩进 3 Char"/>
    <w:basedOn w:val="16"/>
    <w:link w:val="11"/>
    <w:semiHidden/>
    <w:qFormat/>
    <w:locked/>
    <w:uiPriority w:val="99"/>
    <w:rPr>
      <w:rFonts w:eastAsia="仿宋_GB2312" w:cs="Times New Roman"/>
      <w:sz w:val="16"/>
      <w:szCs w:val="16"/>
    </w:rPr>
  </w:style>
  <w:style w:type="character" w:customStyle="1" w:styleId="27">
    <w:name w:val="页眉 Char"/>
    <w:basedOn w:val="16"/>
    <w:link w:val="10"/>
    <w:semiHidden/>
    <w:qFormat/>
    <w:locked/>
    <w:uiPriority w:val="99"/>
    <w:rPr>
      <w:rFonts w:eastAsia="仿宋_GB2312" w:cs="Times New Roman"/>
      <w:sz w:val="18"/>
      <w:szCs w:val="18"/>
    </w:rPr>
  </w:style>
  <w:style w:type="character" w:customStyle="1" w:styleId="28">
    <w:name w:val="日期 Char"/>
    <w:basedOn w:val="16"/>
    <w:link w:val="6"/>
    <w:semiHidden/>
    <w:qFormat/>
    <w:locked/>
    <w:uiPriority w:val="99"/>
    <w:rPr>
      <w:rFonts w:eastAsia="仿宋_GB2312" w:cs="Times New Roman"/>
      <w:sz w:val="20"/>
      <w:szCs w:val="20"/>
    </w:rPr>
  </w:style>
  <w:style w:type="character" w:customStyle="1" w:styleId="29">
    <w:name w:val="正文文本 2 Char"/>
    <w:basedOn w:val="16"/>
    <w:link w:val="12"/>
    <w:semiHidden/>
    <w:qFormat/>
    <w:locked/>
    <w:uiPriority w:val="99"/>
    <w:rPr>
      <w:rFonts w:eastAsia="仿宋_GB2312" w:cs="Times New Roman"/>
      <w:sz w:val="20"/>
      <w:szCs w:val="20"/>
    </w:rPr>
  </w:style>
  <w:style w:type="character" w:customStyle="1" w:styleId="30">
    <w:name w:val="正文文本缩进 2 Char"/>
    <w:basedOn w:val="16"/>
    <w:link w:val="7"/>
    <w:semiHidden/>
    <w:qFormat/>
    <w:locked/>
    <w:uiPriority w:val="99"/>
    <w:rPr>
      <w:rFonts w:eastAsia="仿宋_GB2312" w:cs="Times New Roman"/>
      <w:sz w:val="20"/>
      <w:szCs w:val="20"/>
    </w:rPr>
  </w:style>
  <w:style w:type="character" w:customStyle="1" w:styleId="31">
    <w:name w:val="页脚 Char"/>
    <w:basedOn w:val="16"/>
    <w:link w:val="9"/>
    <w:qFormat/>
    <w:locked/>
    <w:uiPriority w:val="99"/>
    <w:rPr>
      <w:rFonts w:eastAsia="仿宋_GB2312" w:cs="Times New Roman"/>
      <w:kern w:val="2"/>
      <w:sz w:val="18"/>
      <w:lang w:val="en-US" w:eastAsia="zh-CN" w:bidi="ar-SA"/>
    </w:rPr>
  </w:style>
  <w:style w:type="character" w:customStyle="1" w:styleId="32">
    <w:name w:val="批注框文本 Char"/>
    <w:basedOn w:val="16"/>
    <w:link w:val="8"/>
    <w:semiHidden/>
    <w:qFormat/>
    <w:locked/>
    <w:uiPriority w:val="99"/>
    <w:rPr>
      <w:rFonts w:eastAsia="仿宋_GB2312" w:cs="Times New Roman"/>
      <w:sz w:val="2"/>
    </w:rPr>
  </w:style>
  <w:style w:type="character" w:customStyle="1" w:styleId="33">
    <w:name w:val="正文文本 Char"/>
    <w:basedOn w:val="16"/>
    <w:link w:val="3"/>
    <w:semiHidden/>
    <w:qFormat/>
    <w:locked/>
    <w:uiPriority w:val="99"/>
    <w:rPr>
      <w:rFonts w:eastAsia="仿宋_GB2312" w:cs="Times New Roman"/>
      <w:sz w:val="20"/>
      <w:szCs w:val="20"/>
    </w:rPr>
  </w:style>
  <w:style w:type="character" w:customStyle="1" w:styleId="34">
    <w:name w:val="纯文本 Char"/>
    <w:basedOn w:val="16"/>
    <w:link w:val="5"/>
    <w:semiHidden/>
    <w:qFormat/>
    <w:locked/>
    <w:uiPriority w:val="99"/>
    <w:rPr>
      <w:rFonts w:ascii="宋体" w:hAnsi="Courier New" w:cs="Courier New"/>
      <w:sz w:val="21"/>
      <w:szCs w:val="21"/>
    </w:rPr>
  </w:style>
  <w:style w:type="paragraph" w:customStyle="1" w:styleId="35">
    <w:name w:val="Char"/>
    <w:basedOn w:val="1"/>
    <w:qFormat/>
    <w:uiPriority w:val="99"/>
    <w:rPr>
      <w:rFonts w:eastAsia="宋体"/>
      <w:sz w:val="21"/>
      <w:szCs w:val="24"/>
    </w:rPr>
  </w:style>
  <w:style w:type="paragraph" w:customStyle="1" w:styleId="36">
    <w:name w:val="列出段落1"/>
    <w:basedOn w:val="1"/>
    <w:qFormat/>
    <w:uiPriority w:val="99"/>
    <w:pPr>
      <w:ind w:firstLine="420" w:firstLineChars="200"/>
    </w:pPr>
    <w:rPr>
      <w:rFonts w:ascii="Calibri" w:hAnsi="Calibri" w:eastAsia="宋体"/>
      <w:sz w:val="21"/>
      <w:szCs w:val="22"/>
    </w:rPr>
  </w:style>
  <w:style w:type="paragraph" w:customStyle="1" w:styleId="37">
    <w:name w:val="Char2 Char Char Char Char Char Char"/>
    <w:basedOn w:val="1"/>
    <w:qFormat/>
    <w:uiPriority w:val="99"/>
    <w:rPr>
      <w:rFonts w:ascii="仿宋_GB2312" w:eastAsia="宋体"/>
      <w:b/>
      <w:sz w:val="30"/>
      <w:szCs w:val="32"/>
    </w:rPr>
  </w:style>
  <w:style w:type="paragraph" w:customStyle="1" w:styleId="38">
    <w:name w:val="Char Char Char Char Char Char"/>
    <w:basedOn w:val="1"/>
    <w:qFormat/>
    <w:uiPriority w:val="99"/>
    <w:rPr>
      <w:rFonts w:eastAsia="宋体"/>
      <w:sz w:val="21"/>
      <w:szCs w:val="24"/>
    </w:rPr>
  </w:style>
  <w:style w:type="paragraph" w:customStyle="1" w:styleId="39">
    <w:name w:val="节标题"/>
    <w:basedOn w:val="1"/>
    <w:next w:val="1"/>
    <w:qFormat/>
    <w:uiPriority w:val="99"/>
    <w:pPr>
      <w:widowControl/>
      <w:spacing w:line="289" w:lineRule="atLeast"/>
      <w:jc w:val="center"/>
      <w:textAlignment w:val="baseline"/>
    </w:pPr>
    <w:rPr>
      <w:rFonts w:eastAsia="宋体"/>
      <w:color w:val="000000"/>
      <w:kern w:val="0"/>
      <w:sz w:val="28"/>
      <w:u w:color="000000"/>
    </w:rPr>
  </w:style>
  <w:style w:type="paragraph" w:customStyle="1" w:styleId="40">
    <w:name w:val="正文1"/>
    <w:basedOn w:val="1"/>
    <w:qFormat/>
    <w:uiPriority w:val="99"/>
    <w:pPr>
      <w:spacing w:line="568" w:lineRule="exact"/>
      <w:ind w:firstLine="200" w:firstLineChars="200"/>
    </w:pPr>
    <w:rPr>
      <w:rFonts w:ascii="宋体" w:hAnsi="华文中宋"/>
      <w:bCs/>
      <w:kern w:val="0"/>
      <w:szCs w:val="40"/>
    </w:rPr>
  </w:style>
  <w:style w:type="paragraph" w:customStyle="1" w:styleId="41">
    <w:name w:val="Char1 Char Char Char"/>
    <w:basedOn w:val="1"/>
    <w:qFormat/>
    <w:uiPriority w:val="99"/>
    <w:rPr>
      <w:rFonts w:ascii="Tahoma" w:hAnsi="Tahoma" w:eastAsia="宋体"/>
      <w:sz w:val="24"/>
    </w:rPr>
  </w:style>
  <w:style w:type="paragraph" w:customStyle="1" w:styleId="42">
    <w:name w:val="默认段落字体 Para Char Char Char1 Char"/>
    <w:basedOn w:val="1"/>
    <w:qFormat/>
    <w:uiPriority w:val="99"/>
    <w:rPr>
      <w:rFonts w:ascii="Tahoma" w:hAnsi="Tahoma" w:eastAsia="宋体"/>
      <w:sz w:val="24"/>
    </w:rPr>
  </w:style>
  <w:style w:type="paragraph" w:customStyle="1" w:styleId="43">
    <w:name w:val="_Style 22"/>
    <w:basedOn w:val="1"/>
    <w:qFormat/>
    <w:uiPriority w:val="99"/>
    <w:pPr>
      <w:numPr>
        <w:ilvl w:val="0"/>
        <w:numId w:val="1"/>
      </w:numPr>
    </w:pPr>
  </w:style>
  <w:style w:type="paragraph" w:customStyle="1" w:styleId="44">
    <w:name w:val="p0"/>
    <w:basedOn w:val="1"/>
    <w:qFormat/>
    <w:uiPriority w:val="99"/>
    <w:pPr>
      <w:widowControl/>
    </w:pPr>
    <w:rPr>
      <w:rFonts w:eastAsia="宋体"/>
      <w:kern w:val="0"/>
      <w:szCs w:val="32"/>
    </w:rPr>
  </w:style>
  <w:style w:type="paragraph" w:customStyle="1" w:styleId="45">
    <w:name w:val="Char Char2 Char Char"/>
    <w:basedOn w:val="1"/>
    <w:qFormat/>
    <w:uiPriority w:val="99"/>
    <w:pPr>
      <w:widowControl/>
      <w:spacing w:after="160" w:line="240" w:lineRule="exact"/>
      <w:jc w:val="left"/>
    </w:pPr>
  </w:style>
  <w:style w:type="paragraph" w:customStyle="1" w:styleId="46">
    <w:name w:val="Char Char"/>
    <w:basedOn w:val="1"/>
    <w:qFormat/>
    <w:uiPriority w:val="99"/>
    <w:pPr>
      <w:widowControl/>
      <w:spacing w:after="160" w:line="240" w:lineRule="exact"/>
      <w:ind w:firstLine="420" w:firstLineChars="200"/>
      <w:jc w:val="left"/>
    </w:pPr>
    <w:rPr>
      <w:rFonts w:ascii="Verdana" w:hAnsi="Verdana" w:eastAsia="宋体"/>
      <w:kern w:val="0"/>
      <w:sz w:val="21"/>
      <w:lang w:eastAsia="en-US"/>
    </w:rPr>
  </w:style>
  <w:style w:type="paragraph" w:customStyle="1" w:styleId="47">
    <w:name w:val="Char1"/>
    <w:basedOn w:val="1"/>
    <w:qFormat/>
    <w:uiPriority w:val="99"/>
    <w:pPr>
      <w:widowControl/>
      <w:spacing w:after="160" w:line="240" w:lineRule="exact"/>
      <w:jc w:val="left"/>
    </w:pPr>
    <w:rPr>
      <w:rFonts w:ascii="Verdana" w:hAnsi="Verdana"/>
      <w:kern w:val="0"/>
      <w:sz w:val="24"/>
      <w:lang w:eastAsia="en-US"/>
    </w:rPr>
  </w:style>
  <w:style w:type="paragraph" w:customStyle="1" w:styleId="48">
    <w:name w:val="Char Char Char Char Char Char Char Char Char Char Char Char Char"/>
    <w:basedOn w:val="1"/>
    <w:qFormat/>
    <w:uiPriority w:val="99"/>
    <w:rPr>
      <w:rFonts w:eastAsia="宋体"/>
      <w:sz w:val="21"/>
      <w:szCs w:val="24"/>
    </w:rPr>
  </w:style>
  <w:style w:type="character" w:customStyle="1" w:styleId="49">
    <w:name w:val="Char Char3"/>
    <w:basedOn w:val="16"/>
    <w:qFormat/>
    <w:uiPriority w:val="99"/>
    <w:rPr>
      <w:rFonts w:eastAsia="宋体" w:cs="Times New Roman"/>
      <w:kern w:val="2"/>
      <w:sz w:val="18"/>
      <w:szCs w:val="18"/>
      <w:lang w:val="en-US" w:eastAsia="zh-CN" w:bidi="ar-SA"/>
    </w:rPr>
  </w:style>
  <w:style w:type="character" w:customStyle="1" w:styleId="50">
    <w:name w:val="Char Char2"/>
    <w:basedOn w:val="16"/>
    <w:qFormat/>
    <w:uiPriority w:val="99"/>
    <w:rPr>
      <w:rFonts w:eastAsia="宋体" w:cs="Times New Roman"/>
      <w:kern w:val="2"/>
      <w:sz w:val="18"/>
      <w:szCs w:val="18"/>
      <w:lang w:val="en-US" w:eastAsia="zh-CN" w:bidi="ar-SA"/>
    </w:rPr>
  </w:style>
  <w:style w:type="character" w:customStyle="1" w:styleId="51">
    <w:name w:val="Char Char1"/>
    <w:basedOn w:val="16"/>
    <w:qFormat/>
    <w:uiPriority w:val="99"/>
    <w:rPr>
      <w:rFonts w:eastAsia="仿宋_GB2312" w:cs="Times New Roman"/>
      <w:kern w:val="2"/>
      <w:sz w:val="32"/>
      <w:lang w:val="en-US" w:eastAsia="zh-CN" w:bidi="ar-SA"/>
    </w:rPr>
  </w:style>
  <w:style w:type="paragraph" w:customStyle="1" w:styleId="52">
    <w:name w:val="Char2"/>
    <w:basedOn w:val="1"/>
    <w:qFormat/>
    <w:uiPriority w:val="99"/>
    <w:pPr>
      <w:widowControl/>
      <w:spacing w:after="160" w:line="240" w:lineRule="exact"/>
      <w:jc w:val="left"/>
    </w:pPr>
    <w:rPr>
      <w:rFonts w:ascii="Verdana" w:hAnsi="Verdana"/>
      <w:kern w:val="0"/>
      <w:sz w:val="24"/>
      <w:lang w:eastAsia="en-US"/>
    </w:rPr>
  </w:style>
  <w:style w:type="paragraph" w:customStyle="1" w:styleId="53">
    <w:name w:val="Char Char Char Char Char Char Char Char Char Char Char Char Char1"/>
    <w:basedOn w:val="1"/>
    <w:qFormat/>
    <w:uiPriority w:val="99"/>
    <w:rPr>
      <w:rFonts w:eastAsia="宋体"/>
      <w:sz w:val="21"/>
      <w:szCs w:val="24"/>
    </w:rPr>
  </w:style>
  <w:style w:type="character" w:customStyle="1" w:styleId="54">
    <w:name w:val="Char Char4"/>
    <w:basedOn w:val="16"/>
    <w:qFormat/>
    <w:locked/>
    <w:uiPriority w:val="99"/>
    <w:rPr>
      <w:rFonts w:cs="Times New Roman"/>
      <w:kern w:val="2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jpeg"/><Relationship Id="rId7" Type="http://schemas.openxmlformats.org/officeDocument/2006/relationships/chart" Target="charts/chart1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0135;&#19994;&#31185;\&#20869;&#37096;&#26126;&#30005;&#27169;&#26495;1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package" Target="../embeddings/Workbook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altLang="zh-CN" b="1">
                <a:solidFill>
                  <a:srgbClr val="FF0000"/>
                </a:solidFill>
              </a:rPr>
              <a:t>2023</a:t>
            </a:r>
            <a:r>
              <a:rPr altLang="en-US" b="1">
                <a:solidFill>
                  <a:srgbClr val="FF0000"/>
                </a:solidFill>
              </a:rPr>
              <a:t>年</a:t>
            </a:r>
            <a:r>
              <a:rPr b="1">
                <a:solidFill>
                  <a:srgbClr val="FF0000"/>
                </a:solidFill>
              </a:rPr>
              <a:t>主动公开信息情况</a:t>
            </a:r>
            <a:endParaRPr b="1">
              <a:solidFill>
                <a:srgbClr val="FF0000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销售额</c:v>
                </c:pt>
              </c:strCache>
            </c:strRef>
          </c:tx>
          <c:spPr/>
          <c:explosion val="0"/>
          <c:dPt>
            <c:idx val="0"/>
            <c:bubble3D val="0"/>
            <c:explosion val="2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bubble3D val="0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Sheet1!$A$2:$A$8</c:f>
              <c:strCache>
                <c:ptCount val="7"/>
                <c:pt idx="0">
                  <c:v>机构职能类信息</c:v>
                </c:pt>
                <c:pt idx="1">
                  <c:v>重大建设项目信息</c:v>
                </c:pt>
                <c:pt idx="2">
                  <c:v>民政扶贫救灾社会保障就业类信息</c:v>
                </c:pt>
                <c:pt idx="3">
                  <c:v>国土资源城乡建设环保能源类信息</c:v>
                </c:pt>
                <c:pt idx="4">
                  <c:v>科教文体卫生类信息</c:v>
                </c:pt>
                <c:pt idx="5">
                  <c:v>安全生产、应急管理类信息</c:v>
                </c:pt>
                <c:pt idx="6">
                  <c:v>其他类信息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3.6</c:v>
                </c:pt>
                <c:pt idx="1">
                  <c:v>5.4</c:v>
                </c:pt>
                <c:pt idx="2">
                  <c:v>39.3</c:v>
                </c:pt>
                <c:pt idx="3">
                  <c:v>3.6</c:v>
                </c:pt>
                <c:pt idx="4">
                  <c:v>35.7</c:v>
                </c:pt>
                <c:pt idx="5">
                  <c:v>5.4</c:v>
                </c:pt>
                <c:pt idx="6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内部明电模板1</Template>
  <Company>福建省委机要局</Company>
  <Pages>5</Pages>
  <Words>430</Words>
  <Characters>2456</Characters>
  <Lines>20</Lines>
  <Paragraphs>5</Paragraphs>
  <TotalTime>0</TotalTime>
  <ScaleCrop>false</ScaleCrop>
  <LinksUpToDate>false</LinksUpToDate>
  <CharactersWithSpaces>2881</CharactersWithSpaces>
  <Application>WPS Office_11.1.0.11435_F1E327BC-269C-435d-A152-05C5408002CA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2024-01-17T00:27:00Z</dcterms:created>
  <dc:creator>雨林木风</dc:creator>
  <cp:keywords>密电</cp:keywords>
  <cp:lastModifiedBy>Administrator</cp:lastModifiedBy>
  <cp:lastPrinted>2024-01-17T00:25:00Z</cp:lastPrinted>
  <dcterms:modified xsi:type="dcterms:W3CDTF">2025-01-25T06:54:55Z</dcterms:modified>
  <dc:subject>密码发报</dc:subject>
  <dc:title>AF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2052-11.1.0.11435</vt:lpwstr>
  </property>
  <property fmtid="{D5CDD505-2E9C-101B-9397-08002B2CF9AE}" pid="3" name="ICV">
    <vt:lpwstr>DAB0425966C84F488148657AA036E683_13</vt:lpwstr>
  </property>
</Properties>
</file>