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pacing w:val="-6"/>
          <w:sz w:val="44"/>
          <w:szCs w:val="44"/>
          <w:lang w:eastAsia="zh-CN"/>
        </w:rPr>
      </w:pPr>
      <w:bookmarkStart w:id="0" w:name="SOA_Title"/>
      <w:r>
        <w:rPr>
          <w:rFonts w:hint="eastAsia" w:ascii="方正小标宋简体" w:eastAsia="方正小标宋简体"/>
          <w:spacing w:val="-6"/>
          <w:sz w:val="44"/>
          <w:szCs w:val="44"/>
          <w:lang w:eastAsia="zh-CN"/>
        </w:rPr>
        <w:t>晋江市农业农村局关于</w:t>
      </w:r>
    </w:p>
    <w:p>
      <w:pPr>
        <w:spacing w:line="560" w:lineRule="exact"/>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开展</w:t>
      </w:r>
      <w:bookmarkEnd w:id="0"/>
      <w:r>
        <w:rPr>
          <w:rFonts w:hint="eastAsia" w:ascii="方正小标宋简体" w:eastAsia="方正小标宋简体"/>
          <w:spacing w:val="-6"/>
          <w:sz w:val="44"/>
          <w:szCs w:val="44"/>
          <w:lang w:eastAsia="zh-CN"/>
        </w:rPr>
        <w:t>20</w:t>
      </w:r>
      <w:r>
        <w:rPr>
          <w:rFonts w:hint="eastAsia" w:ascii="方正小标宋简体" w:eastAsia="方正小标宋简体"/>
          <w:spacing w:val="-6"/>
          <w:sz w:val="44"/>
          <w:szCs w:val="44"/>
          <w:lang w:val="en-US" w:eastAsia="zh-CN"/>
        </w:rPr>
        <w:t>24</w:t>
      </w:r>
      <w:r>
        <w:rPr>
          <w:rFonts w:hint="eastAsia" w:ascii="方正小标宋简体" w:eastAsia="方正小标宋简体"/>
          <w:spacing w:val="-6"/>
          <w:sz w:val="44"/>
          <w:szCs w:val="44"/>
          <w:lang w:eastAsia="zh-CN"/>
        </w:rPr>
        <w:t>年度泉州市级海洋经济</w:t>
      </w:r>
    </w:p>
    <w:p>
      <w:pPr>
        <w:spacing w:line="56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高质量发展专项资金（第一批）项目</w:t>
      </w:r>
      <w:r>
        <w:rPr>
          <w:rFonts w:hint="eastAsia" w:ascii="方正小标宋简体" w:eastAsia="方正小标宋简体"/>
          <w:sz w:val="44"/>
          <w:szCs w:val="44"/>
        </w:rPr>
        <w:t>的公示</w:t>
      </w:r>
    </w:p>
    <w:p>
      <w:pPr>
        <w:pStyle w:val="4"/>
        <w:spacing w:before="0" w:beforeAutospacing="0" w:after="0" w:afterAutospacing="0" w:line="560" w:lineRule="exact"/>
        <w:ind w:firstLine="640" w:firstLineChars="200"/>
        <w:jc w:val="both"/>
        <w:rPr>
          <w:rFonts w:hint="eastAsia" w:ascii="仿宋_GB2312" w:eastAsia="仿宋_GB2312"/>
          <w:sz w:val="32"/>
          <w:szCs w:val="32"/>
        </w:rPr>
      </w:pPr>
    </w:p>
    <w:p>
      <w:pPr>
        <w:pStyle w:val="4"/>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根据《泉州市财政局 泉州市海洋与渔业局关于印发泉州市市级海洋经济高质量发展专项资金管理暂行规定的通知》（泉财规〔202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号）和《泉州市海洋与渔业局关于做好2024年市级海洋经济高质量发展专项资金申报管理及水产相关企业名录库更新的通知》文件精神，</w:t>
      </w:r>
      <w:r>
        <w:rPr>
          <w:rFonts w:hint="default" w:ascii="Times New Roman" w:hAnsi="Times New Roman" w:eastAsia="仿宋_GB2312" w:cs="Times New Roman"/>
          <w:sz w:val="32"/>
          <w:szCs w:val="32"/>
        </w:rPr>
        <w:t>我局组织开展</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eastAsia="zh-CN"/>
        </w:rPr>
        <w:t>泉州市级海洋经济高质量发展专项资金（第一批）项目</w:t>
      </w:r>
      <w:r>
        <w:rPr>
          <w:rFonts w:hint="default" w:ascii="Times New Roman" w:hAnsi="Times New Roman" w:eastAsia="仿宋_GB2312" w:cs="Times New Roman"/>
          <w:sz w:val="32"/>
          <w:szCs w:val="32"/>
        </w:rPr>
        <w:t>工作。经组织申报、</w:t>
      </w:r>
      <w:r>
        <w:rPr>
          <w:rFonts w:hint="default" w:ascii="Times New Roman" w:hAnsi="Times New Roman" w:eastAsia="仿宋_GB2312" w:cs="Times New Roman"/>
          <w:sz w:val="32"/>
          <w:szCs w:val="32"/>
          <w:lang w:eastAsia="zh-CN"/>
        </w:rPr>
        <w:t>现场走访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专家评审和验收</w:t>
      </w:r>
      <w:r>
        <w:rPr>
          <w:rFonts w:hint="default" w:ascii="Times New Roman" w:hAnsi="Times New Roman" w:eastAsia="仿宋_GB2312" w:cs="Times New Roman"/>
          <w:sz w:val="32"/>
          <w:szCs w:val="32"/>
        </w:rPr>
        <w:t>等环节，</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有</w:t>
      </w:r>
      <w:r>
        <w:rPr>
          <w:rFonts w:hint="default" w:ascii="Times New Roman" w:hAnsi="Times New Roman" w:eastAsia="仿宋_GB2312" w:cs="Times New Roman"/>
          <w:sz w:val="32"/>
          <w:szCs w:val="32"/>
          <w:lang w:eastAsia="zh-CN"/>
        </w:rPr>
        <w:t>福建省深沪湾海洋科技有限公司、阿一波食品有限公司、福建永丰渔业有限公司</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3家企业申报项目</w:t>
      </w:r>
      <w:r>
        <w:rPr>
          <w:rFonts w:hint="default" w:ascii="Times New Roman" w:hAnsi="Times New Roman" w:eastAsia="仿宋_GB2312" w:cs="Times New Roman"/>
          <w:sz w:val="32"/>
          <w:szCs w:val="32"/>
        </w:rPr>
        <w:t>符合补助条件，现将</w:t>
      </w:r>
      <w:r>
        <w:rPr>
          <w:rFonts w:hint="default" w:ascii="Times New Roman" w:hAnsi="Times New Roman" w:eastAsia="仿宋_GB2312" w:cs="Times New Roman"/>
          <w:sz w:val="32"/>
          <w:szCs w:val="32"/>
          <w:lang w:eastAsia="zh-CN"/>
        </w:rPr>
        <w:t>泉州市级海洋经济高质量发展补助资金（第一批）项目</w:t>
      </w:r>
      <w:r>
        <w:rPr>
          <w:rFonts w:hint="default" w:ascii="Times New Roman" w:hAnsi="Times New Roman" w:eastAsia="仿宋_GB2312" w:cs="Times New Roman"/>
          <w:sz w:val="32"/>
          <w:szCs w:val="32"/>
        </w:rPr>
        <w:t>拟补助对象及补助</w:t>
      </w:r>
      <w:bookmarkStart w:id="1" w:name="_GoBack"/>
      <w:bookmarkEnd w:id="1"/>
      <w:r>
        <w:rPr>
          <w:rFonts w:hint="default" w:ascii="Times New Roman" w:hAnsi="Times New Roman" w:eastAsia="仿宋_GB2312" w:cs="Times New Roman"/>
          <w:sz w:val="32"/>
          <w:szCs w:val="32"/>
        </w:rPr>
        <w:t>资金给予公示，公示时间从202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日起至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日止，欢迎广大群众对拟补助对象及补助资金进行监督，若有异议请致电或以其他形式向市农业农村局反映。</w:t>
      </w:r>
    </w:p>
    <w:p>
      <w:pPr>
        <w:pStyle w:val="4"/>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85678152</w:t>
      </w:r>
      <w:r>
        <w:rPr>
          <w:rFonts w:hint="default" w:ascii="Times New Roman" w:hAnsi="Times New Roman" w:eastAsia="仿宋_GB2312" w:cs="Times New Roman"/>
          <w:sz w:val="32"/>
          <w:szCs w:val="32"/>
        </w:rPr>
        <w:t xml:space="preserve">   </w:t>
      </w:r>
    </w:p>
    <w:p>
      <w:pPr>
        <w:pStyle w:val="4"/>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时间：上午8:00—12:00 </w:t>
      </w:r>
    </w:p>
    <w:p>
      <w:pPr>
        <w:pStyle w:val="4"/>
        <w:spacing w:before="0" w:beforeAutospacing="0" w:after="0" w:afterAutospacing="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下午1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p>
    <w:p>
      <w:pPr>
        <w:pStyle w:val="4"/>
        <w:spacing w:before="0" w:beforeAutospacing="0" w:after="0" w:afterAutospacing="0" w:line="560" w:lineRule="exact"/>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晋江市农业农村局</w:t>
      </w:r>
    </w:p>
    <w:p>
      <w:pPr>
        <w:pStyle w:val="4"/>
        <w:spacing w:before="0" w:beforeAutospacing="0" w:after="0" w:afterAutospacing="0" w:line="560" w:lineRule="exact"/>
        <w:ind w:firstLine="640" w:firstLineChars="200"/>
        <w:rPr>
          <w:rFonts w:hint="default" w:ascii="Times New Roman" w:hAnsi="Times New Roman" w:eastAsia="仿宋_GB2312" w:cs="Times New Roman"/>
          <w:color w:val="3E3E3E"/>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color w:val="3E3E3E"/>
          <w:sz w:val="32"/>
          <w:szCs w:val="32"/>
        </w:rPr>
        <w:t xml:space="preserve">                 </w:t>
      </w:r>
      <w:r>
        <w:rPr>
          <w:rFonts w:hint="eastAsia" w:ascii="Times New Roman" w:hAnsi="Times New Roman" w:eastAsia="仿宋_GB2312" w:cs="Times New Roman"/>
          <w:color w:val="3E3E3E"/>
          <w:sz w:val="32"/>
          <w:szCs w:val="32"/>
          <w:lang w:val="en-US" w:eastAsia="zh-CN"/>
        </w:rPr>
        <w:t xml:space="preserve">                                 </w:t>
      </w:r>
      <w:r>
        <w:rPr>
          <w:rFonts w:hint="default" w:ascii="Times New Roman" w:hAnsi="Times New Roman" w:eastAsia="仿宋_GB2312" w:cs="Times New Roman"/>
          <w:color w:val="3E3E3E"/>
          <w:sz w:val="32"/>
          <w:szCs w:val="32"/>
        </w:rPr>
        <w:t xml:space="preserve">    </w:t>
      </w:r>
      <w:r>
        <w:rPr>
          <w:rFonts w:hint="eastAsia" w:ascii="Times New Roman" w:hAnsi="Times New Roman" w:eastAsia="仿宋_GB2312" w:cs="Times New Roman"/>
          <w:color w:val="3E3E3E"/>
          <w:sz w:val="32"/>
          <w:szCs w:val="32"/>
          <w:lang w:val="en-US" w:eastAsia="zh-CN"/>
        </w:rPr>
        <w:t>2024年4月28日</w:t>
      </w:r>
    </w:p>
    <w:p>
      <w:pPr>
        <w:pStyle w:val="4"/>
        <w:spacing w:before="0" w:beforeAutospacing="0" w:after="0" w:afterAutospacing="0" w:line="240" w:lineRule="auto"/>
        <w:rPr>
          <w:rFonts w:hint="eastAsia" w:ascii="仿宋_GB2312" w:eastAsia="仿宋_GB2312"/>
          <w:color w:val="3E3E3E"/>
          <w:sz w:val="32"/>
          <w:szCs w:val="32"/>
          <w:lang w:eastAsia="zh-CN"/>
        </w:rPr>
      </w:pPr>
      <w:r>
        <w:rPr>
          <w:rFonts w:hint="eastAsia" w:ascii="仿宋_GB2312" w:eastAsia="仿宋_GB2312"/>
          <w:color w:val="3E3E3E"/>
          <w:sz w:val="32"/>
          <w:szCs w:val="32"/>
          <w:lang w:eastAsia="zh-CN"/>
        </w:rPr>
        <w:t>附件</w:t>
      </w:r>
    </w:p>
    <w:p>
      <w:pPr>
        <w:ind w:right="-941" w:rightChars="-448"/>
        <w:jc w:val="center"/>
        <w:rPr>
          <w:rFonts w:hint="eastAsia" w:ascii="Times New Roman" w:hAnsi="Times New Roman" w:eastAsia="方正小标宋简体" w:cs="方正小标宋简体"/>
          <w:caps w:val="0"/>
          <w:sz w:val="44"/>
          <w:szCs w:val="44"/>
          <w:lang w:eastAsia="zh-CN"/>
        </w:rPr>
      </w:pPr>
      <w:r>
        <w:rPr>
          <w:rFonts w:hint="eastAsia" w:ascii="Times New Roman" w:hAnsi="Times New Roman" w:eastAsia="方正小标宋简体" w:cs="方正小标宋简体"/>
          <w:caps w:val="0"/>
          <w:sz w:val="44"/>
          <w:szCs w:val="44"/>
          <w:lang w:eastAsia="zh-CN"/>
        </w:rPr>
        <w:t>202</w:t>
      </w:r>
      <w:r>
        <w:rPr>
          <w:rFonts w:hint="eastAsia" w:ascii="Times New Roman" w:hAnsi="Times New Roman" w:eastAsia="方正小标宋简体" w:cs="方正小标宋简体"/>
          <w:caps w:val="0"/>
          <w:sz w:val="44"/>
          <w:szCs w:val="44"/>
          <w:lang w:val="en-US" w:eastAsia="zh-CN"/>
        </w:rPr>
        <w:t>4</w:t>
      </w:r>
      <w:r>
        <w:rPr>
          <w:rFonts w:hint="eastAsia" w:ascii="Times New Roman" w:hAnsi="Times New Roman" w:eastAsia="方正小标宋简体" w:cs="方正小标宋简体"/>
          <w:caps w:val="0"/>
          <w:sz w:val="44"/>
          <w:szCs w:val="44"/>
          <w:lang w:eastAsia="zh-CN"/>
        </w:rPr>
        <w:t>年泉州市级海洋经济高质量发展专项资金项目（第一批）汇总表</w:t>
      </w:r>
    </w:p>
    <w:tbl>
      <w:tblPr>
        <w:tblStyle w:val="5"/>
        <w:tblpPr w:leftFromText="180" w:rightFromText="180" w:vertAnchor="text" w:horzAnchor="page" w:tblpXSpec="center" w:tblpY="621"/>
        <w:tblOverlap w:val="never"/>
        <w:tblW w:w="14145" w:type="dxa"/>
        <w:jc w:val="center"/>
        <w:tblLayout w:type="fixed"/>
        <w:tblCellMar>
          <w:top w:w="0" w:type="dxa"/>
          <w:left w:w="108" w:type="dxa"/>
          <w:bottom w:w="0" w:type="dxa"/>
          <w:right w:w="108" w:type="dxa"/>
        </w:tblCellMar>
      </w:tblPr>
      <w:tblGrid>
        <w:gridCol w:w="752"/>
        <w:gridCol w:w="2079"/>
        <w:gridCol w:w="2301"/>
        <w:gridCol w:w="4652"/>
        <w:gridCol w:w="1402"/>
        <w:gridCol w:w="1292"/>
        <w:gridCol w:w="1667"/>
      </w:tblGrid>
      <w:tr>
        <w:tblPrEx>
          <w:tblCellMar>
            <w:top w:w="0" w:type="dxa"/>
            <w:left w:w="108" w:type="dxa"/>
            <w:bottom w:w="0" w:type="dxa"/>
            <w:right w:w="108" w:type="dxa"/>
          </w:tblCellMar>
        </w:tblPrEx>
        <w:trPr>
          <w:trHeight w:val="510" w:hRule="atLeast"/>
          <w:jc w:val="center"/>
        </w:trPr>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序号</w:t>
            </w:r>
          </w:p>
        </w:tc>
        <w:tc>
          <w:tcPr>
            <w:tcW w:w="20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申报单位</w:t>
            </w:r>
          </w:p>
        </w:tc>
        <w:tc>
          <w:tcPr>
            <w:tcW w:w="23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申报项目</w:t>
            </w:r>
          </w:p>
        </w:tc>
        <w:tc>
          <w:tcPr>
            <w:tcW w:w="465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补助标准</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核定总投资</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拟补助金额</w:t>
            </w:r>
          </w:p>
        </w:tc>
      </w:tr>
      <w:tr>
        <w:tblPrEx>
          <w:tblCellMar>
            <w:top w:w="0" w:type="dxa"/>
            <w:left w:w="108" w:type="dxa"/>
            <w:bottom w:w="0" w:type="dxa"/>
            <w:right w:w="108" w:type="dxa"/>
          </w:tblCellMar>
        </w:tblPrEx>
        <w:trPr>
          <w:trHeight w:val="562" w:hRule="atLeast"/>
          <w:jc w:val="center"/>
        </w:trPr>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0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3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465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水产品</w:t>
            </w:r>
            <w:r>
              <w:rPr>
                <w:rFonts w:hint="eastAsia" w:ascii="仿宋_GB2312" w:hAnsi="仿宋_GB2312" w:eastAsia="仿宋_GB2312" w:cs="仿宋_GB2312"/>
                <w:caps w:val="0"/>
                <w:snapToGrid/>
                <w:color w:val="000000"/>
                <w:sz w:val="24"/>
                <w:szCs w:val="24"/>
                <w:lang w:eastAsia="zh-CN"/>
              </w:rPr>
              <w:br w:type="textWrapping"/>
            </w:r>
            <w:r>
              <w:rPr>
                <w:rFonts w:hint="eastAsia" w:ascii="仿宋_GB2312" w:hAnsi="仿宋_GB2312" w:eastAsia="仿宋_GB2312" w:cs="仿宋_GB2312"/>
                <w:caps w:val="0"/>
                <w:snapToGrid/>
                <w:color w:val="000000"/>
                <w:sz w:val="24"/>
                <w:szCs w:val="24"/>
                <w:lang w:eastAsia="zh-CN"/>
              </w:rPr>
              <w:t>总净重（吨）</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贷款金额（万元）</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（万元，</w:t>
            </w:r>
            <w:r>
              <w:rPr>
                <w:rFonts w:hint="eastAsia" w:ascii="仿宋_GB2312" w:hAnsi="仿宋_GB2312" w:eastAsia="仿宋_GB2312" w:cs="仿宋_GB2312"/>
                <w:caps w:val="0"/>
                <w:snapToGrid/>
                <w:color w:val="000000"/>
                <w:sz w:val="24"/>
                <w:szCs w:val="24"/>
                <w:lang w:val="en-US" w:eastAsia="zh-CN"/>
              </w:rPr>
              <w:t>抹零取整至小数点后两位</w:t>
            </w:r>
            <w:r>
              <w:rPr>
                <w:rFonts w:hint="eastAsia" w:ascii="仿宋_GB2312" w:hAnsi="仿宋_GB2312" w:eastAsia="仿宋_GB2312" w:cs="仿宋_GB2312"/>
                <w:caps w:val="0"/>
                <w:snapToGrid/>
                <w:color w:val="000000"/>
                <w:sz w:val="24"/>
                <w:szCs w:val="24"/>
                <w:lang w:eastAsia="zh-CN"/>
              </w:rPr>
              <w:t>）</w:t>
            </w:r>
          </w:p>
        </w:tc>
      </w:tr>
      <w:tr>
        <w:tblPrEx>
          <w:tblCellMar>
            <w:top w:w="0" w:type="dxa"/>
            <w:left w:w="108" w:type="dxa"/>
            <w:bottom w:w="0" w:type="dxa"/>
            <w:right w:w="108" w:type="dxa"/>
          </w:tblCellMar>
        </w:tblPrEx>
        <w:trPr>
          <w:trHeight w:val="1380" w:hRule="atLeast"/>
          <w:jc w:val="center"/>
        </w:trPr>
        <w:tc>
          <w:tcPr>
            <w:tcW w:w="75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w:t>
            </w:r>
          </w:p>
        </w:tc>
        <w:tc>
          <w:tcPr>
            <w:tcW w:w="20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阿一波食品有限公司</w:t>
            </w:r>
          </w:p>
        </w:tc>
        <w:tc>
          <w:tcPr>
            <w:tcW w:w="23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4652" w:type="dxa"/>
            <w:vMerge w:val="restart"/>
            <w:tcBorders>
              <w:top w:val="nil"/>
              <w:left w:val="single" w:color="auto" w:sz="4" w:space="0"/>
              <w:right w:val="single" w:color="auto" w:sz="4" w:space="0"/>
            </w:tcBorders>
            <w:noWrap w:val="0"/>
            <w:vAlign w:val="center"/>
          </w:tcPr>
          <w:p>
            <w:pPr>
              <w:widowControl/>
              <w:jc w:val="both"/>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xml:space="preserve"> 单笔贷款不低于100万元、贷款时间不低于6个月，按照不高于当年1月份贷款市场报价利率（LPR），对企业上年以来已付利息给予贴息，每家企业每年流动资金贷款贴息不超过25万元、固定资产贷款贴息不超过50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960</w:t>
            </w:r>
          </w:p>
        </w:tc>
        <w:tc>
          <w:tcPr>
            <w:tcW w:w="1667"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23.76</w:t>
            </w:r>
          </w:p>
        </w:tc>
      </w:tr>
      <w:tr>
        <w:tblPrEx>
          <w:tblCellMar>
            <w:top w:w="0" w:type="dxa"/>
            <w:left w:w="108" w:type="dxa"/>
            <w:bottom w:w="0" w:type="dxa"/>
            <w:right w:w="108" w:type="dxa"/>
          </w:tblCellMar>
        </w:tblPrEx>
        <w:trPr>
          <w:trHeight w:val="841" w:hRule="atLeast"/>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福建省深沪湾海洋科技有限公司</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海洋经济高质量发展贷款贴息</w:t>
            </w:r>
          </w:p>
        </w:tc>
        <w:tc>
          <w:tcPr>
            <w:tcW w:w="46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1000</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25</w:t>
            </w:r>
          </w:p>
        </w:tc>
      </w:tr>
      <w:tr>
        <w:tblPrEx>
          <w:tblCellMar>
            <w:top w:w="0" w:type="dxa"/>
            <w:left w:w="108" w:type="dxa"/>
            <w:bottom w:w="0" w:type="dxa"/>
            <w:right w:w="108" w:type="dxa"/>
          </w:tblCellMar>
        </w:tblPrEx>
        <w:trPr>
          <w:trHeight w:val="1153" w:hRule="atLeast"/>
          <w:jc w:val="center"/>
        </w:trPr>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3</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kern w:val="2"/>
                <w:sz w:val="24"/>
                <w:szCs w:val="24"/>
                <w:lang w:val="en-US" w:eastAsia="zh-CN" w:bidi="ar-SA"/>
              </w:rPr>
            </w:pPr>
            <w:r>
              <w:rPr>
                <w:rFonts w:hint="eastAsia" w:ascii="仿宋_GB2312" w:hAnsi="仿宋_GB2312" w:eastAsia="仿宋_GB2312" w:cs="仿宋_GB2312"/>
                <w:caps w:val="0"/>
                <w:snapToGrid/>
                <w:color w:val="000000"/>
                <w:sz w:val="24"/>
                <w:szCs w:val="24"/>
                <w:lang w:eastAsia="zh-CN"/>
              </w:rPr>
              <w:t>福建永丰渔业有限公司</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kern w:val="2"/>
                <w:sz w:val="24"/>
                <w:szCs w:val="24"/>
                <w:lang w:val="en-US" w:eastAsia="zh-CN" w:bidi="ar-SA"/>
              </w:rPr>
            </w:pPr>
            <w:r>
              <w:rPr>
                <w:rFonts w:hint="eastAsia" w:ascii="仿宋_GB2312" w:hAnsi="仿宋_GB2312" w:eastAsia="仿宋_GB2312" w:cs="仿宋_GB2312"/>
                <w:caps w:val="0"/>
                <w:snapToGrid/>
                <w:color w:val="000000"/>
                <w:sz w:val="24"/>
                <w:szCs w:val="24"/>
                <w:lang w:val="en-US" w:eastAsia="zh-CN"/>
              </w:rPr>
              <w:t>远洋渔业企业运回水产品在泉州口岸补助</w:t>
            </w:r>
          </w:p>
        </w:tc>
        <w:tc>
          <w:tcPr>
            <w:tcW w:w="46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kern w:val="2"/>
                <w:sz w:val="24"/>
                <w:szCs w:val="24"/>
                <w:lang w:val="en-US" w:eastAsia="zh-CN" w:bidi="ar-SA"/>
              </w:rPr>
            </w:pPr>
            <w:r>
              <w:rPr>
                <w:rFonts w:hint="eastAsia" w:ascii="仿宋_GB2312" w:hAnsi="仿宋_GB2312" w:eastAsia="仿宋_GB2312" w:cs="仿宋_GB2312"/>
                <w:caps w:val="0"/>
                <w:snapToGrid/>
                <w:color w:val="000000"/>
                <w:sz w:val="24"/>
                <w:szCs w:val="24"/>
                <w:lang w:eastAsia="zh-CN"/>
              </w:rPr>
              <w:t>远洋渔业企业运回泉州口岸的水产品，按报关单净重，市级财政每吨配套奖补资金200元，全市奖补总额不超过</w:t>
            </w:r>
            <w:r>
              <w:rPr>
                <w:rFonts w:hint="eastAsia" w:ascii="仿宋_GB2312" w:hAnsi="仿宋_GB2312" w:eastAsia="仿宋_GB2312" w:cs="仿宋_GB2312"/>
                <w:caps w:val="0"/>
                <w:snapToGrid/>
                <w:color w:val="000000"/>
                <w:sz w:val="24"/>
                <w:szCs w:val="24"/>
                <w:lang w:val="en-US" w:eastAsia="zh-CN"/>
              </w:rPr>
              <w:t>1300万元</w:t>
            </w:r>
            <w:r>
              <w:rPr>
                <w:rFonts w:hint="eastAsia" w:ascii="仿宋_GB2312" w:hAnsi="仿宋_GB2312" w:eastAsia="仿宋_GB2312" w:cs="仿宋_GB2312"/>
                <w:caps w:val="0"/>
                <w:snapToGrid/>
                <w:color w:val="000000"/>
                <w:sz w:val="24"/>
                <w:szCs w:val="24"/>
                <w:lang w:eastAsia="zh-CN"/>
              </w:rPr>
              <w:t>。</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r>
              <w:rPr>
                <w:rFonts w:hint="eastAsia" w:ascii="仿宋_GB2312" w:hAnsi="仿宋_GB2312" w:eastAsia="仿宋_GB2312" w:cs="仿宋_GB2312"/>
                <w:caps w:val="0"/>
                <w:snapToGrid/>
                <w:color w:val="000000"/>
                <w:sz w:val="24"/>
                <w:szCs w:val="24"/>
                <w:lang w:val="en-US" w:eastAsia="zh-CN"/>
              </w:rPr>
              <w:t>8124.929</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w:t>
            </w:r>
            <w:r>
              <w:rPr>
                <w:rFonts w:hint="eastAsia" w:ascii="仿宋_GB2312" w:hAnsi="仿宋_GB2312" w:eastAsia="仿宋_GB2312" w:cs="仿宋_GB2312"/>
                <w:caps w:val="0"/>
                <w:snapToGrid/>
                <w:color w:val="000000"/>
                <w:sz w:val="24"/>
                <w:szCs w:val="24"/>
                <w:lang w:eastAsia="zh-CN"/>
              </w:rPr>
              <w:t>　</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162.49</w:t>
            </w:r>
          </w:p>
        </w:tc>
      </w:tr>
      <w:tr>
        <w:tblPrEx>
          <w:tblCellMar>
            <w:top w:w="0" w:type="dxa"/>
            <w:left w:w="108" w:type="dxa"/>
            <w:bottom w:w="0" w:type="dxa"/>
            <w:right w:w="108" w:type="dxa"/>
          </w:tblCellMar>
        </w:tblPrEx>
        <w:trPr>
          <w:trHeight w:val="645" w:hRule="atLeast"/>
          <w:jc w:val="center"/>
        </w:trPr>
        <w:tc>
          <w:tcPr>
            <w:tcW w:w="97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合计</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211.25</w:t>
            </w:r>
          </w:p>
        </w:tc>
      </w:tr>
    </w:tbl>
    <w:p>
      <w:pPr>
        <w:spacing w:line="560" w:lineRule="exact"/>
        <w:jc w:val="left"/>
        <w:rPr>
          <w:rFonts w:hint="eastAsia" w:eastAsia="等线"/>
          <w:lang w:eastAsia="zh-CN"/>
        </w:rPr>
      </w:pPr>
    </w:p>
    <w:sectPr>
      <w:pgSz w:w="16838" w:h="11906" w:orient="landscape"/>
      <w:pgMar w:top="1800" w:right="1440"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05B5"/>
    <w:rsid w:val="0C0102C6"/>
    <w:rsid w:val="0C0B44AE"/>
    <w:rsid w:val="13DF7521"/>
    <w:rsid w:val="160B53DA"/>
    <w:rsid w:val="17C93AB1"/>
    <w:rsid w:val="1A457874"/>
    <w:rsid w:val="1E5D3D0E"/>
    <w:rsid w:val="2A674C63"/>
    <w:rsid w:val="320C028D"/>
    <w:rsid w:val="32BD5318"/>
    <w:rsid w:val="38582886"/>
    <w:rsid w:val="38A0578B"/>
    <w:rsid w:val="3B074DED"/>
    <w:rsid w:val="424F2D85"/>
    <w:rsid w:val="47095AF9"/>
    <w:rsid w:val="4BB23021"/>
    <w:rsid w:val="4FBA3A44"/>
    <w:rsid w:val="578D5093"/>
    <w:rsid w:val="5D815A7A"/>
    <w:rsid w:val="5DE24A5A"/>
    <w:rsid w:val="602B6240"/>
    <w:rsid w:val="60B96575"/>
    <w:rsid w:val="6F5A7169"/>
    <w:rsid w:val="71E06B0F"/>
    <w:rsid w:val="74971CCD"/>
    <w:rsid w:val="785B4524"/>
    <w:rsid w:val="7BB14A1E"/>
    <w:rsid w:val="7E8F5C6C"/>
    <w:rsid w:val="7F82254F"/>
    <w:rsid w:val="7FAE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customStyle="1" w:styleId="2">
    <w:name w:val="Acetate"/>
    <w:basedOn w:val="1"/>
    <w:qFormat/>
    <w:uiPriority w:val="0"/>
    <w:pPr>
      <w:textAlignment w:val="baseline"/>
    </w:pPr>
    <w:rPr>
      <w:rFonts w:ascii="Calibri" w:hAnsi="Calibri"/>
      <w:sz w:val="18"/>
      <w:szCs w:val="18"/>
    </w:rPr>
  </w:style>
  <w:style w:type="paragraph" w:styleId="3">
    <w:name w:val="Normal Indent"/>
    <w:basedOn w:val="1"/>
    <w:qFormat/>
    <w:uiPriority w:val="99"/>
    <w:pPr>
      <w:spacing w:line="520" w:lineRule="exact"/>
      <w:ind w:firstLine="420" w:firstLineChars="200"/>
    </w:pPr>
    <w:rPr>
      <w:rFonts w:eastAsia="仿宋_GB2312"/>
      <w:spacing w:val="6"/>
      <w:sz w:val="30"/>
      <w:szCs w:val="20"/>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2</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2022-11-08T03:10:00Z</cp:lastPrinted>
  <dcterms:modified xsi:type="dcterms:W3CDTF">2024-04-28T07:33:32Z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