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6"/>
          <w:sz w:val="44"/>
          <w:szCs w:val="44"/>
          <w:lang w:eastAsia="zh-CN"/>
        </w:rPr>
      </w:pPr>
      <w:bookmarkStart w:id="0" w:name="SOA_Title"/>
      <w:r>
        <w:rPr>
          <w:rFonts w:hint="eastAsia" w:ascii="方正小标宋简体" w:eastAsia="方正小标宋简体"/>
          <w:spacing w:val="-6"/>
          <w:sz w:val="44"/>
          <w:szCs w:val="44"/>
          <w:lang w:eastAsia="zh-CN"/>
        </w:rPr>
        <w:t>晋江市农业农村局关于</w:t>
      </w:r>
    </w:p>
    <w:p>
      <w:pPr>
        <w:spacing w:line="560" w:lineRule="exact"/>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开展</w:t>
      </w:r>
      <w:bookmarkEnd w:id="0"/>
      <w:r>
        <w:rPr>
          <w:rFonts w:hint="eastAsia" w:ascii="方正小标宋简体" w:eastAsia="方正小标宋简体"/>
          <w:spacing w:val="-6"/>
          <w:sz w:val="44"/>
          <w:szCs w:val="44"/>
          <w:lang w:eastAsia="zh-CN"/>
        </w:rPr>
        <w:t>20</w:t>
      </w:r>
      <w:r>
        <w:rPr>
          <w:rFonts w:hint="eastAsia" w:ascii="方正小标宋简体" w:eastAsia="方正小标宋简体"/>
          <w:spacing w:val="-6"/>
          <w:sz w:val="44"/>
          <w:szCs w:val="44"/>
          <w:lang w:val="en-US" w:eastAsia="zh-CN"/>
        </w:rPr>
        <w:t>23</w:t>
      </w:r>
      <w:r>
        <w:rPr>
          <w:rFonts w:hint="eastAsia" w:ascii="方正小标宋简体" w:eastAsia="方正小标宋简体"/>
          <w:spacing w:val="-6"/>
          <w:sz w:val="44"/>
          <w:szCs w:val="44"/>
          <w:lang w:eastAsia="zh-CN"/>
        </w:rPr>
        <w:t>年度泉州市级海洋经济</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高质量发展专项资金第一批项目</w:t>
      </w:r>
      <w:r>
        <w:rPr>
          <w:rFonts w:hint="eastAsia" w:ascii="方正小标宋简体" w:eastAsia="方正小标宋简体"/>
          <w:sz w:val="44"/>
          <w:szCs w:val="44"/>
        </w:rPr>
        <w:t>的公示</w:t>
      </w:r>
    </w:p>
    <w:p>
      <w:pPr>
        <w:pStyle w:val="4"/>
        <w:spacing w:before="0" w:beforeAutospacing="0" w:after="0" w:afterAutospacing="0" w:line="560" w:lineRule="exact"/>
        <w:ind w:firstLine="640" w:firstLineChars="200"/>
        <w:jc w:val="both"/>
        <w:rPr>
          <w:rFonts w:hint="eastAsia" w:ascii="仿宋_GB2312" w:eastAsia="仿宋_GB2312"/>
          <w:sz w:val="32"/>
          <w:szCs w:val="32"/>
        </w:rPr>
      </w:pP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根据《泉州市财政局 泉州市海洋与渔业局关于印发泉州市市级海洋经济高质量发展专项资金管理暂行规定的通知》（泉财规〔202</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号）和《泉州市海洋与渔业局关于做好</w:t>
      </w:r>
      <w:r>
        <w:rPr>
          <w:rFonts w:hint="eastAsia" w:ascii="仿宋_GB2312" w:eastAsia="仿宋_GB2312"/>
          <w:sz w:val="32"/>
          <w:szCs w:val="32"/>
          <w:lang w:val="en-US" w:eastAsia="zh-CN"/>
        </w:rPr>
        <w:t>2023年市级海洋经济高质量发展专项资金项目库平台申报管理的通知</w:t>
      </w:r>
      <w:r>
        <w:rPr>
          <w:rFonts w:hint="eastAsia" w:ascii="仿宋_GB2312" w:eastAsia="仿宋_GB2312"/>
          <w:sz w:val="32"/>
          <w:szCs w:val="32"/>
          <w:lang w:eastAsia="zh-CN"/>
        </w:rPr>
        <w:t>》文件精神，</w:t>
      </w:r>
      <w:r>
        <w:rPr>
          <w:rFonts w:hint="eastAsia" w:ascii="仿宋_GB2312" w:eastAsia="仿宋_GB2312"/>
          <w:sz w:val="32"/>
          <w:szCs w:val="32"/>
        </w:rPr>
        <w:t>我局组织开展</w:t>
      </w:r>
      <w:r>
        <w:rPr>
          <w:rFonts w:hint="eastAsia" w:ascii="仿宋_GB2312" w:eastAsia="仿宋_GB2312"/>
          <w:sz w:val="32"/>
          <w:szCs w:val="32"/>
          <w:lang w:eastAsia="zh-CN"/>
        </w:rPr>
        <w:t>泉州市级海洋经济高质量发展专项资金第一批项目</w:t>
      </w:r>
      <w:r>
        <w:rPr>
          <w:rFonts w:hint="eastAsia" w:ascii="仿宋_GB2312" w:eastAsia="仿宋_GB2312"/>
          <w:sz w:val="32"/>
          <w:szCs w:val="32"/>
        </w:rPr>
        <w:t>工作。经组织申报、</w:t>
      </w:r>
      <w:r>
        <w:rPr>
          <w:rFonts w:hint="eastAsia" w:ascii="仿宋_GB2312" w:eastAsia="仿宋_GB2312"/>
          <w:sz w:val="32"/>
          <w:szCs w:val="32"/>
          <w:lang w:eastAsia="zh-CN"/>
        </w:rPr>
        <w:t>现场走访</w:t>
      </w:r>
      <w:r>
        <w:rPr>
          <w:rFonts w:hint="eastAsia" w:ascii="仿宋_GB2312" w:eastAsia="仿宋_GB2312"/>
          <w:sz w:val="32"/>
          <w:szCs w:val="32"/>
        </w:rPr>
        <w:t>、</w:t>
      </w:r>
      <w:r>
        <w:rPr>
          <w:rFonts w:hint="eastAsia" w:ascii="仿宋_GB2312" w:eastAsia="仿宋_GB2312"/>
          <w:sz w:val="32"/>
          <w:szCs w:val="32"/>
          <w:lang w:eastAsia="zh-CN"/>
        </w:rPr>
        <w:t>专家评审和验收</w:t>
      </w:r>
      <w:r>
        <w:rPr>
          <w:rFonts w:hint="eastAsia" w:ascii="仿宋_GB2312" w:eastAsia="仿宋_GB2312"/>
          <w:sz w:val="32"/>
          <w:szCs w:val="32"/>
        </w:rPr>
        <w:t>等环节，</w:t>
      </w:r>
      <w:r>
        <w:rPr>
          <w:rFonts w:hint="eastAsia" w:ascii="仿宋_GB2312" w:eastAsia="仿宋_GB2312"/>
          <w:sz w:val="32"/>
          <w:szCs w:val="32"/>
          <w:lang w:eastAsia="zh-CN"/>
        </w:rPr>
        <w:t>现</w:t>
      </w:r>
      <w:r>
        <w:rPr>
          <w:rFonts w:hint="eastAsia" w:ascii="仿宋_GB2312" w:eastAsia="仿宋_GB2312"/>
          <w:sz w:val="32"/>
          <w:szCs w:val="32"/>
        </w:rPr>
        <w:t>有</w:t>
      </w:r>
      <w:r>
        <w:rPr>
          <w:rFonts w:hint="eastAsia" w:ascii="仿宋_GB2312" w:eastAsia="仿宋_GB2312"/>
          <w:sz w:val="32"/>
          <w:szCs w:val="32"/>
          <w:lang w:eastAsia="zh-CN"/>
        </w:rPr>
        <w:t>福建省创兴海洋科技有限公司</w:t>
      </w:r>
      <w:r>
        <w:rPr>
          <w:rFonts w:hint="eastAsia" w:ascii="仿宋_GB2312" w:eastAsia="仿宋_GB2312"/>
          <w:sz w:val="32"/>
          <w:szCs w:val="32"/>
        </w:rPr>
        <w:t>、</w:t>
      </w:r>
      <w:r>
        <w:rPr>
          <w:rFonts w:hint="eastAsia" w:ascii="仿宋_GB2312" w:eastAsia="仿宋_GB2312"/>
          <w:sz w:val="32"/>
          <w:szCs w:val="32"/>
          <w:lang w:eastAsia="zh-CN"/>
        </w:rPr>
        <w:t>福建省深沪湾科技有限公司、信豪（福建）水产有限公司、福建省力诚食品有限公司、泉州亲亲有限公司、福建永丰渔业有限公司、福建渔业互保协会</w:t>
      </w:r>
      <w:r>
        <w:rPr>
          <w:rFonts w:hint="eastAsia" w:ascii="仿宋_GB2312" w:eastAsia="仿宋_GB2312"/>
          <w:sz w:val="32"/>
          <w:szCs w:val="32"/>
        </w:rPr>
        <w:t>等</w:t>
      </w:r>
      <w:r>
        <w:rPr>
          <w:rFonts w:hint="eastAsia" w:ascii="仿宋_GB2312" w:eastAsia="仿宋_GB2312"/>
          <w:sz w:val="32"/>
          <w:szCs w:val="32"/>
          <w:lang w:val="en-US" w:eastAsia="zh-CN"/>
        </w:rPr>
        <w:t>7家企业（单位）申报项目</w:t>
      </w:r>
      <w:r>
        <w:rPr>
          <w:rFonts w:hint="eastAsia" w:ascii="仿宋_GB2312" w:eastAsia="仿宋_GB2312"/>
          <w:sz w:val="32"/>
          <w:szCs w:val="32"/>
        </w:rPr>
        <w:t>符合补助条件，现将</w:t>
      </w:r>
      <w:r>
        <w:rPr>
          <w:rFonts w:hint="eastAsia" w:ascii="仿宋_GB2312" w:eastAsia="仿宋_GB2312"/>
          <w:sz w:val="32"/>
          <w:szCs w:val="32"/>
          <w:lang w:eastAsia="zh-CN"/>
        </w:rPr>
        <w:t>泉州市级海洋经济高质量发展补助资金（第一批）项目</w:t>
      </w:r>
      <w:r>
        <w:rPr>
          <w:rFonts w:hint="eastAsia" w:ascii="仿宋_GB2312" w:eastAsia="仿宋_GB2312"/>
          <w:sz w:val="32"/>
          <w:szCs w:val="32"/>
        </w:rPr>
        <w:t>拟补助对象及补助资金给予公示，公示时间从202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日起至</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日止，欢迎广大群众对拟补助对象及补助资金进行监督，若有异议请致电或以其他形式向市农业农村局反映。</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联系电话：85622163 856</w:t>
      </w:r>
      <w:r>
        <w:rPr>
          <w:rFonts w:ascii="仿宋_GB2312" w:eastAsia="仿宋_GB2312"/>
          <w:sz w:val="32"/>
          <w:szCs w:val="32"/>
        </w:rPr>
        <w:t>76848</w:t>
      </w:r>
      <w:r>
        <w:rPr>
          <w:rFonts w:hint="eastAsia" w:ascii="仿宋_GB2312" w:eastAsia="仿宋_GB2312"/>
          <w:sz w:val="32"/>
          <w:szCs w:val="32"/>
        </w:rPr>
        <w:t xml:space="preserve">   </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时间：上午8:00—12:00 </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下午14:30—17:30</w:t>
      </w:r>
    </w:p>
    <w:p>
      <w:pPr>
        <w:pStyle w:val="4"/>
        <w:spacing w:before="0" w:beforeAutospacing="0" w:after="0" w:afterAutospacing="0" w:line="560" w:lineRule="exact"/>
        <w:ind w:firstLine="640" w:firstLineChars="200"/>
        <w:rPr>
          <w:rFonts w:ascii="仿宋_GB2312" w:eastAsia="仿宋_GB2312"/>
          <w:sz w:val="32"/>
          <w:szCs w:val="32"/>
        </w:rPr>
      </w:pPr>
    </w:p>
    <w:p>
      <w:pPr>
        <w:pStyle w:val="4"/>
        <w:spacing w:before="0" w:beforeAutospacing="0" w:after="0" w:afterAutospacing="0" w:line="560" w:lineRule="exact"/>
        <w:ind w:firstLine="4800" w:firstLineChars="1500"/>
        <w:rPr>
          <w:rFonts w:hint="eastAsia" w:ascii="仿宋_GB2312" w:eastAsia="仿宋_GB2312"/>
          <w:sz w:val="32"/>
          <w:szCs w:val="32"/>
        </w:rPr>
      </w:pPr>
      <w:r>
        <w:rPr>
          <w:rFonts w:hint="eastAsia" w:ascii="仿宋_GB2312" w:eastAsia="仿宋_GB2312"/>
          <w:sz w:val="32"/>
          <w:szCs w:val="32"/>
        </w:rPr>
        <w:t>晋江</w:t>
      </w:r>
      <w:bookmarkStart w:id="1" w:name="_GoBack"/>
      <w:bookmarkEnd w:id="1"/>
      <w:r>
        <w:rPr>
          <w:rFonts w:hint="eastAsia" w:ascii="仿宋_GB2312" w:eastAsia="仿宋_GB2312"/>
          <w:sz w:val="32"/>
          <w:szCs w:val="32"/>
        </w:rPr>
        <w:t>市农业农村局</w:t>
      </w:r>
    </w:p>
    <w:p>
      <w:pPr>
        <w:pStyle w:val="4"/>
        <w:spacing w:before="0" w:beforeAutospacing="0" w:after="0" w:afterAutospacing="0" w:line="560" w:lineRule="exact"/>
        <w:ind w:firstLine="640" w:firstLineChars="200"/>
        <w:rPr>
          <w:rFonts w:hint="eastAsia" w:ascii="仿宋_GB2312" w:eastAsia="仿宋_GB2312"/>
          <w:color w:val="3E3E3E"/>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3E3E3E"/>
          <w:sz w:val="32"/>
          <w:szCs w:val="32"/>
        </w:rPr>
        <w:t> </w:t>
      </w:r>
      <w:r>
        <w:rPr>
          <w:rFonts w:ascii="仿宋_GB2312" w:eastAsia="仿宋_GB2312"/>
          <w:color w:val="3E3E3E"/>
          <w:sz w:val="32"/>
          <w:szCs w:val="32"/>
        </w:rPr>
        <w:t xml:space="preserve">                        </w:t>
      </w:r>
      <w:r>
        <w:rPr>
          <w:rFonts w:hint="eastAsia" w:ascii="仿宋_GB2312" w:eastAsia="仿宋_GB2312"/>
          <w:color w:val="3E3E3E"/>
          <w:sz w:val="32"/>
          <w:szCs w:val="32"/>
        </w:rPr>
        <w:t>202</w:t>
      </w:r>
      <w:r>
        <w:rPr>
          <w:rFonts w:hint="eastAsia" w:ascii="仿宋_GB2312" w:eastAsia="仿宋_GB2312"/>
          <w:color w:val="3E3E3E"/>
          <w:sz w:val="32"/>
          <w:szCs w:val="32"/>
          <w:lang w:val="en-US" w:eastAsia="zh-CN"/>
        </w:rPr>
        <w:t>3</w:t>
      </w:r>
      <w:r>
        <w:rPr>
          <w:rFonts w:hint="eastAsia" w:ascii="仿宋_GB2312" w:eastAsia="仿宋_GB2312"/>
          <w:color w:val="3E3E3E"/>
          <w:sz w:val="32"/>
          <w:szCs w:val="32"/>
        </w:rPr>
        <w:t>年</w:t>
      </w:r>
      <w:r>
        <w:rPr>
          <w:rFonts w:hint="eastAsia" w:ascii="仿宋_GB2312" w:eastAsia="仿宋_GB2312"/>
          <w:color w:val="3E3E3E"/>
          <w:sz w:val="32"/>
          <w:szCs w:val="32"/>
          <w:lang w:val="en-US" w:eastAsia="zh-CN"/>
        </w:rPr>
        <w:t>4</w:t>
      </w:r>
      <w:r>
        <w:rPr>
          <w:rFonts w:hint="eastAsia" w:ascii="仿宋_GB2312" w:eastAsia="仿宋_GB2312"/>
          <w:color w:val="3E3E3E"/>
          <w:sz w:val="32"/>
          <w:szCs w:val="32"/>
        </w:rPr>
        <w:t>月</w:t>
      </w:r>
      <w:r>
        <w:rPr>
          <w:rFonts w:hint="eastAsia" w:ascii="仿宋_GB2312" w:eastAsia="仿宋_GB2312"/>
          <w:color w:val="3E3E3E"/>
          <w:sz w:val="32"/>
          <w:szCs w:val="32"/>
          <w:lang w:val="en-US" w:eastAsia="zh-CN"/>
        </w:rPr>
        <w:t>28</w:t>
      </w:r>
      <w:r>
        <w:rPr>
          <w:rFonts w:hint="eastAsia" w:ascii="仿宋_GB2312" w:eastAsia="仿宋_GB2312"/>
          <w:color w:val="3E3E3E"/>
          <w:sz w:val="32"/>
          <w:szCs w:val="32"/>
        </w:rPr>
        <w:t>日</w:t>
      </w:r>
    </w:p>
    <w:p>
      <w:pPr>
        <w:pStyle w:val="4"/>
        <w:spacing w:before="0" w:beforeAutospacing="0" w:after="0" w:afterAutospacing="0" w:line="240" w:lineRule="auto"/>
        <w:rPr>
          <w:rFonts w:hint="eastAsia" w:ascii="仿宋_GB2312" w:eastAsia="仿宋_GB2312"/>
          <w:color w:val="3E3E3E"/>
          <w:sz w:val="32"/>
          <w:szCs w:val="32"/>
          <w:lang w:eastAsia="zh-CN"/>
        </w:rPr>
      </w:pPr>
      <w:r>
        <w:rPr>
          <w:rFonts w:hint="eastAsia" w:ascii="仿宋_GB2312" w:eastAsia="仿宋_GB2312"/>
          <w:color w:val="3E3E3E"/>
          <w:sz w:val="32"/>
          <w:szCs w:val="32"/>
          <w:lang w:eastAsia="zh-CN"/>
        </w:rPr>
        <w:t>附件</w:t>
      </w:r>
    </w:p>
    <w:p>
      <w:pPr>
        <w:ind w:right="-941" w:rightChars="-448"/>
        <w:jc w:val="center"/>
        <w:rPr>
          <w:rFonts w:hint="eastAsia" w:ascii="Times New Roman" w:hAnsi="Times New Roman" w:eastAsia="方正小标宋简体" w:cs="方正小标宋简体"/>
          <w:caps w:val="0"/>
          <w:sz w:val="44"/>
          <w:szCs w:val="44"/>
          <w:lang w:eastAsia="zh-CN"/>
        </w:rPr>
      </w:pPr>
      <w:r>
        <w:rPr>
          <w:rFonts w:hint="eastAsia" w:ascii="Times New Roman" w:hAnsi="Times New Roman" w:eastAsia="方正小标宋简体" w:cs="方正小标宋简体"/>
          <w:caps w:val="0"/>
          <w:sz w:val="44"/>
          <w:szCs w:val="44"/>
          <w:lang w:eastAsia="zh-CN"/>
        </w:rPr>
        <w:t>202</w:t>
      </w:r>
      <w:r>
        <w:rPr>
          <w:rFonts w:hint="eastAsia" w:ascii="Times New Roman" w:hAnsi="Times New Roman" w:eastAsia="方正小标宋简体" w:cs="方正小标宋简体"/>
          <w:caps w:val="0"/>
          <w:sz w:val="44"/>
          <w:szCs w:val="44"/>
          <w:lang w:val="en-US" w:eastAsia="zh-CN"/>
        </w:rPr>
        <w:t>3</w:t>
      </w:r>
      <w:r>
        <w:rPr>
          <w:rFonts w:hint="eastAsia" w:ascii="Times New Roman" w:hAnsi="Times New Roman" w:eastAsia="方正小标宋简体" w:cs="方正小标宋简体"/>
          <w:caps w:val="0"/>
          <w:sz w:val="44"/>
          <w:szCs w:val="44"/>
          <w:lang w:eastAsia="zh-CN"/>
        </w:rPr>
        <w:t>年泉州市级海洋经济高质量发展专项资金项目（第一批）汇总表</w:t>
      </w:r>
    </w:p>
    <w:tbl>
      <w:tblPr>
        <w:tblStyle w:val="5"/>
        <w:tblpPr w:leftFromText="180" w:rightFromText="180" w:vertAnchor="text" w:horzAnchor="page" w:tblpXSpec="center" w:tblpY="621"/>
        <w:tblOverlap w:val="never"/>
        <w:tblW w:w="15154" w:type="dxa"/>
        <w:jc w:val="center"/>
        <w:tblLayout w:type="fixed"/>
        <w:tblCellMar>
          <w:top w:w="0" w:type="dxa"/>
          <w:left w:w="108" w:type="dxa"/>
          <w:bottom w:w="0" w:type="dxa"/>
          <w:right w:w="108" w:type="dxa"/>
        </w:tblCellMar>
      </w:tblPr>
      <w:tblGrid>
        <w:gridCol w:w="424"/>
        <w:gridCol w:w="2651"/>
        <w:gridCol w:w="3383"/>
        <w:gridCol w:w="3326"/>
        <w:gridCol w:w="1402"/>
        <w:gridCol w:w="1292"/>
        <w:gridCol w:w="1253"/>
        <w:gridCol w:w="1423"/>
      </w:tblGrid>
      <w:tr>
        <w:tblPrEx>
          <w:tblCellMar>
            <w:top w:w="0" w:type="dxa"/>
            <w:left w:w="108" w:type="dxa"/>
            <w:bottom w:w="0" w:type="dxa"/>
            <w:right w:w="108" w:type="dxa"/>
          </w:tblCellMar>
        </w:tblPrEx>
        <w:trPr>
          <w:trHeight w:val="510"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序号</w:t>
            </w:r>
          </w:p>
        </w:tc>
        <w:tc>
          <w:tcPr>
            <w:tcW w:w="26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申报单位</w:t>
            </w:r>
          </w:p>
        </w:tc>
        <w:tc>
          <w:tcPr>
            <w:tcW w:w="3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申报项目</w:t>
            </w:r>
          </w:p>
        </w:tc>
        <w:tc>
          <w:tcPr>
            <w:tcW w:w="3326"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补助标准</w:t>
            </w:r>
          </w:p>
        </w:tc>
        <w:tc>
          <w:tcPr>
            <w:tcW w:w="3947" w:type="dxa"/>
            <w:gridSpan w:val="3"/>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核定总投资</w:t>
            </w:r>
          </w:p>
        </w:tc>
        <w:tc>
          <w:tcPr>
            <w:tcW w:w="1423"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拟补助金额</w:t>
            </w:r>
          </w:p>
        </w:tc>
      </w:tr>
      <w:tr>
        <w:tblPrEx>
          <w:tblCellMar>
            <w:top w:w="0" w:type="dxa"/>
            <w:left w:w="108" w:type="dxa"/>
            <w:bottom w:w="0" w:type="dxa"/>
            <w:right w:w="108" w:type="dxa"/>
          </w:tblCellMar>
        </w:tblPrEx>
        <w:trPr>
          <w:trHeight w:val="56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6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26" w:type="dxa"/>
            <w:vMerge w:val="continue"/>
            <w:tcBorders>
              <w:top w:val="single" w:color="auto" w:sz="4" w:space="0"/>
              <w:left w:val="single" w:color="auto" w:sz="4" w:space="0"/>
              <w:bottom w:val="single" w:color="000000"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水产品</w:t>
            </w:r>
            <w:r>
              <w:rPr>
                <w:rFonts w:hint="eastAsia" w:ascii="仿宋_GB2312" w:hAnsi="仿宋_GB2312" w:eastAsia="仿宋_GB2312" w:cs="仿宋_GB2312"/>
                <w:caps w:val="0"/>
                <w:snapToGrid/>
                <w:color w:val="000000"/>
                <w:sz w:val="24"/>
                <w:szCs w:val="24"/>
                <w:lang w:eastAsia="zh-CN"/>
              </w:rPr>
              <w:br w:type="textWrapping"/>
            </w:r>
            <w:r>
              <w:rPr>
                <w:rFonts w:hint="eastAsia" w:ascii="仿宋_GB2312" w:hAnsi="仿宋_GB2312" w:eastAsia="仿宋_GB2312" w:cs="仿宋_GB2312"/>
                <w:caps w:val="0"/>
                <w:snapToGrid/>
                <w:color w:val="000000"/>
                <w:sz w:val="24"/>
                <w:szCs w:val="24"/>
                <w:lang w:eastAsia="zh-CN"/>
              </w:rPr>
              <w:t>总净重（吨）</w:t>
            </w:r>
          </w:p>
        </w:tc>
        <w:tc>
          <w:tcPr>
            <w:tcW w:w="129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贷款金额（万元）</w:t>
            </w:r>
          </w:p>
        </w:tc>
        <w:tc>
          <w:tcPr>
            <w:tcW w:w="12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生产线建设投资（万元）</w:t>
            </w:r>
          </w:p>
        </w:tc>
        <w:tc>
          <w:tcPr>
            <w:tcW w:w="142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（万元，抹零取整）</w:t>
            </w:r>
          </w:p>
        </w:tc>
      </w:tr>
      <w:tr>
        <w:tblPrEx>
          <w:tblCellMar>
            <w:top w:w="0" w:type="dxa"/>
            <w:left w:w="108" w:type="dxa"/>
            <w:bottom w:w="0" w:type="dxa"/>
            <w:right w:w="108" w:type="dxa"/>
          </w:tblCellMar>
        </w:tblPrEx>
        <w:trPr>
          <w:trHeight w:val="810"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1</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福建省创兴海洋科技有限公司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xml:space="preserve">  单笔贷款不低于100万元、贷款时间不低于6个月，按照不高于当年1月份贷款市场报价利率（LPR），对企业上年以来已付利息给予贴息，每家企业每年流动资金贷款贴息不超过25万元、固定资产贷款贴息不超过50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1750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827"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2</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福建省深沪湾科技有限公司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1000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1214"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3</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信豪（福建）水产有限公司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1000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590"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福建省力诚食品有限公司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3326"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 xml:space="preserve">  </w:t>
            </w:r>
            <w:r>
              <w:rPr>
                <w:rFonts w:hint="eastAsia" w:ascii="仿宋_GB2312" w:hAnsi="仿宋_GB2312" w:eastAsia="仿宋_GB2312" w:cs="仿宋_GB2312"/>
                <w:caps w:val="0"/>
                <w:snapToGrid/>
                <w:color w:val="000000"/>
                <w:sz w:val="24"/>
                <w:szCs w:val="24"/>
                <w:lang w:eastAsia="zh-CN"/>
              </w:rPr>
              <w:t>购置设备费用累计不低于50万元的，按购置费20%奖补，每个单位奖补上限100万元。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421.585</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74</w:t>
            </w:r>
          </w:p>
        </w:tc>
      </w:tr>
      <w:tr>
        <w:tblPrEx>
          <w:tblCellMar>
            <w:top w:w="0" w:type="dxa"/>
            <w:left w:w="108" w:type="dxa"/>
            <w:bottom w:w="0" w:type="dxa"/>
            <w:right w:w="108" w:type="dxa"/>
          </w:tblCellMar>
        </w:tblPrEx>
        <w:trPr>
          <w:trHeight w:val="461"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5</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泉州亲亲食品有限公司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332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175.1655</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31</w:t>
            </w:r>
          </w:p>
        </w:tc>
      </w:tr>
      <w:tr>
        <w:tblPrEx>
          <w:tblCellMar>
            <w:top w:w="0" w:type="dxa"/>
            <w:left w:w="108" w:type="dxa"/>
            <w:bottom w:w="0" w:type="dxa"/>
            <w:right w:w="108" w:type="dxa"/>
          </w:tblCellMar>
        </w:tblPrEx>
        <w:trPr>
          <w:trHeight w:val="1641" w:hRule="atLeast"/>
          <w:jc w:val="center"/>
        </w:trPr>
        <w:tc>
          <w:tcPr>
            <w:tcW w:w="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6</w:t>
            </w:r>
          </w:p>
        </w:tc>
        <w:tc>
          <w:tcPr>
            <w:tcW w:w="26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福建永丰渔业有限公司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远洋渔业企业运回水产品在泉州口岸补助</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远洋渔业企业运回泉州口岸的水产品，按报关单净重，市级财政每吨配套奖补资金200元，全市奖补总额不超过</w:t>
            </w:r>
            <w:r>
              <w:rPr>
                <w:rFonts w:hint="eastAsia" w:ascii="仿宋_GB2312" w:hAnsi="仿宋_GB2312" w:eastAsia="仿宋_GB2312" w:cs="仿宋_GB2312"/>
                <w:caps w:val="0"/>
                <w:snapToGrid/>
                <w:color w:val="000000"/>
                <w:sz w:val="24"/>
                <w:szCs w:val="24"/>
                <w:lang w:val="en-US" w:eastAsia="zh-CN"/>
              </w:rPr>
              <w:t>1300万元</w:t>
            </w:r>
            <w:r>
              <w:rPr>
                <w:rFonts w:hint="eastAsia" w:ascii="仿宋_GB2312" w:hAnsi="仿宋_GB2312" w:eastAsia="仿宋_GB2312" w:cs="仿宋_GB2312"/>
                <w:caps w:val="0"/>
                <w:snapToGrid/>
                <w:color w:val="000000"/>
                <w:sz w:val="24"/>
                <w:szCs w:val="24"/>
                <w:lang w:eastAsia="zh-CN"/>
              </w:rPr>
              <w:t>。</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8339.379</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166</w:t>
            </w:r>
          </w:p>
        </w:tc>
      </w:tr>
      <w:tr>
        <w:tblPrEx>
          <w:tblCellMar>
            <w:top w:w="0" w:type="dxa"/>
            <w:left w:w="108" w:type="dxa"/>
            <w:bottom w:w="0" w:type="dxa"/>
            <w:right w:w="108" w:type="dxa"/>
          </w:tblCellMar>
        </w:tblPrEx>
        <w:trPr>
          <w:trHeight w:val="5141" w:hRule="atLeast"/>
          <w:jc w:val="center"/>
        </w:trPr>
        <w:tc>
          <w:tcPr>
            <w:tcW w:w="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7</w:t>
            </w:r>
          </w:p>
        </w:tc>
        <w:tc>
          <w:tcPr>
            <w:tcW w:w="2651" w:type="dxa"/>
            <w:tcBorders>
              <w:top w:val="single" w:color="auto" w:sz="4" w:space="0"/>
              <w:left w:val="nil"/>
              <w:bottom w:val="single" w:color="auto"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福建渔业互保协会</w:t>
            </w:r>
          </w:p>
        </w:tc>
        <w:tc>
          <w:tcPr>
            <w:tcW w:w="338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海洋保险</w:t>
            </w:r>
          </w:p>
        </w:tc>
        <w:tc>
          <w:tcPr>
            <w:tcW w:w="3326"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（1）在原有省级财政补贴保费30%、县级财政补贴保费10%的基础上，市级财政予以叠加补贴。其中：</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①水产养殖互助保险、水产养殖台风指数保险：市级财政叠加补贴15%；</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②雇主责任互助保险（含远洋）、渔船互助保险（含远洋）：市级财政叠加补贴10%；</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（2）渔民人身平安互助保险：在原有省级财政补贴保费30%、县级财政补贴保费5%的基础上，市级财政叠加补贴10%。</w:t>
            </w:r>
          </w:p>
          <w:p>
            <w:pPr>
              <w:widowControl/>
              <w:jc w:val="center"/>
              <w:rPr>
                <w:rFonts w:hint="eastAsia" w:ascii="仿宋_GB2312" w:hAnsi="仿宋_GB2312" w:eastAsia="仿宋_GB2312" w:cs="仿宋_GB2312"/>
                <w:caps w:val="0"/>
                <w:snapToGrid/>
                <w:color w:val="000000"/>
                <w:sz w:val="24"/>
                <w:szCs w:val="24"/>
                <w:lang w:val="en-US" w:eastAsia="zh-CN"/>
              </w:rPr>
            </w:pPr>
          </w:p>
        </w:tc>
        <w:tc>
          <w:tcPr>
            <w:tcW w:w="1402"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single" w:color="auto" w:sz="4" w:space="0"/>
              <w:left w:val="nil"/>
              <w:bottom w:val="nil"/>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115</w:t>
            </w:r>
          </w:p>
        </w:tc>
      </w:tr>
      <w:tr>
        <w:tblPrEx>
          <w:tblCellMar>
            <w:top w:w="0" w:type="dxa"/>
            <w:left w:w="108" w:type="dxa"/>
            <w:bottom w:w="0" w:type="dxa"/>
            <w:right w:w="108" w:type="dxa"/>
          </w:tblCellMar>
        </w:tblPrEx>
        <w:trPr>
          <w:trHeight w:val="480" w:hRule="atLeast"/>
          <w:jc w:val="center"/>
        </w:trPr>
        <w:tc>
          <w:tcPr>
            <w:tcW w:w="97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合计</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461</w:t>
            </w:r>
          </w:p>
        </w:tc>
      </w:tr>
    </w:tbl>
    <w:p>
      <w:pPr>
        <w:spacing w:line="560" w:lineRule="exact"/>
        <w:jc w:val="left"/>
        <w:rPr>
          <w:rFonts w:hint="eastAsia" w:eastAsia="等线"/>
          <w:lang w:eastAsia="zh-CN"/>
        </w:rPr>
      </w:pPr>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05B5"/>
    <w:rsid w:val="13DF7521"/>
    <w:rsid w:val="160B53DA"/>
    <w:rsid w:val="17C93AB1"/>
    <w:rsid w:val="1A457874"/>
    <w:rsid w:val="1E5D3D0E"/>
    <w:rsid w:val="320C028D"/>
    <w:rsid w:val="32BD5318"/>
    <w:rsid w:val="38A0578B"/>
    <w:rsid w:val="3B074DED"/>
    <w:rsid w:val="47095AF9"/>
    <w:rsid w:val="4BB23021"/>
    <w:rsid w:val="4FBA3A44"/>
    <w:rsid w:val="578D5093"/>
    <w:rsid w:val="60B96575"/>
    <w:rsid w:val="71E06B0F"/>
    <w:rsid w:val="74971CCD"/>
    <w:rsid w:val="785B4524"/>
    <w:rsid w:val="7BB14A1E"/>
    <w:rsid w:val="7E8F5C6C"/>
    <w:rsid w:val="7FAE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customStyle="1" w:styleId="2">
    <w:name w:val="Acetate"/>
    <w:basedOn w:val="1"/>
    <w:qFormat/>
    <w:uiPriority w:val="0"/>
    <w:pPr>
      <w:textAlignment w:val="baseline"/>
    </w:pPr>
    <w:rPr>
      <w:rFonts w:ascii="Calibri" w:hAnsi="Calibri"/>
      <w:sz w:val="18"/>
      <w:szCs w:val="18"/>
    </w:rPr>
  </w:style>
  <w:style w:type="paragraph" w:styleId="3">
    <w:name w:val="Normal Indent"/>
    <w:basedOn w:val="1"/>
    <w:qFormat/>
    <w:uiPriority w:val="99"/>
    <w:pPr>
      <w:spacing w:line="520" w:lineRule="exact"/>
      <w:ind w:firstLine="420" w:firstLineChars="200"/>
    </w:pPr>
    <w:rPr>
      <w:rFonts w:eastAsia="仿宋_GB2312"/>
      <w:spacing w:val="6"/>
      <w:sz w:val="30"/>
      <w:szCs w:val="20"/>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5</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2022-11-08T03:10:00Z</cp:lastPrinted>
  <dcterms:modified xsi:type="dcterms:W3CDTF">2023-04-27T09:18:18Z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