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b w:val="0"/>
          <w:bCs w:val="0"/>
          <w:spacing w:val="-20"/>
          <w:sz w:val="44"/>
          <w:szCs w:val="44"/>
          <w:highlight w:val="none"/>
        </w:rPr>
      </w:pPr>
      <w:r>
        <w:rPr>
          <w:rFonts w:hint="eastAsia" w:ascii="方正公文小标宋" w:hAnsi="方正公文小标宋" w:eastAsia="方正公文小标宋" w:cs="方正公文小标宋"/>
          <w:b w:val="0"/>
          <w:bCs w:val="0"/>
          <w:spacing w:val="-20"/>
          <w:sz w:val="44"/>
          <w:szCs w:val="44"/>
          <w:highlight w:val="none"/>
        </w:rPr>
        <w:t>晋江市民政局202</w:t>
      </w:r>
      <w:r>
        <w:rPr>
          <w:rFonts w:hint="eastAsia" w:ascii="方正公文小标宋" w:hAnsi="方正公文小标宋" w:eastAsia="方正公文小标宋" w:cs="方正公文小标宋"/>
          <w:b w:val="0"/>
          <w:bCs w:val="0"/>
          <w:spacing w:val="-20"/>
          <w:sz w:val="44"/>
          <w:szCs w:val="44"/>
          <w:highlight w:val="none"/>
          <w:lang w:val="en-US" w:eastAsia="zh-CN"/>
        </w:rPr>
        <w:t>3</w:t>
      </w:r>
      <w:r>
        <w:rPr>
          <w:rFonts w:hint="eastAsia" w:ascii="方正公文小标宋" w:hAnsi="方正公文小标宋" w:eastAsia="方正公文小标宋" w:cs="方正公文小标宋"/>
          <w:b w:val="0"/>
          <w:bCs w:val="0"/>
          <w:spacing w:val="-20"/>
          <w:sz w:val="44"/>
          <w:szCs w:val="44"/>
          <w:highlight w:val="none"/>
        </w:rPr>
        <w:t>年政府信息公开工作年度报告</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_GB2312"/>
          <w:color w:val="000000"/>
          <w:spacing w:val="-20"/>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olor w:val="000000"/>
          <w:spacing w:val="0"/>
          <w:kern w:val="0"/>
          <w:sz w:val="32"/>
          <w:szCs w:val="32"/>
          <w:highlight w:val="none"/>
        </w:rPr>
      </w:pPr>
      <w:r>
        <w:rPr>
          <w:rFonts w:hint="eastAsia" w:ascii="Times New Roman" w:hAnsi="Times New Roman" w:eastAsia="仿宋_GB2312"/>
          <w:color w:val="000000"/>
          <w:spacing w:val="0"/>
          <w:kern w:val="0"/>
          <w:sz w:val="32"/>
          <w:szCs w:val="32"/>
          <w:highlight w:val="none"/>
          <w:lang w:val="en-US" w:eastAsia="zh-CN"/>
        </w:rPr>
        <w:t>本报告根据《中华人民共和国政府信息公开条例》(以下简称《条例》)和《福建省政府信息公开办法》（以下简称《办法》）规定，汇总晋江市民政局信息公开情况编制而成，全文包括总体情况、主动公开政府信息情况、收到和处理政府信息公开申请情况、政府信息公开行政复议和行政诉讼情况、存在的主要问题及改进情况、其他需要报告的事项等六个部分组成。本文所列政府信息公开数据统计期限自2023年1月1日至2023年12月31日，电子版可在政府网站中国晋江“政府信息公开专栏”（www.jinjiang.gov.cn）下载。若有疑问或意见建议，可与晋江市民政局办公室联系。（地址：晋江市罗山街道福埔福达路6号，邮编：362200，电话：85689394，传真：85685574）</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黑体" w:hAnsi="Times New Roman" w:eastAsia="黑体"/>
          <w:bCs/>
          <w:color w:val="000000"/>
          <w:spacing w:val="0"/>
          <w:sz w:val="32"/>
          <w:szCs w:val="32"/>
          <w:highlight w:val="none"/>
        </w:rPr>
      </w:pPr>
      <w:r>
        <w:rPr>
          <w:rFonts w:hint="eastAsia" w:ascii="黑体" w:hAnsi="Times New Roman" w:eastAsia="黑体"/>
          <w:b/>
          <w:bCs w:val="0"/>
          <w:color w:val="000000"/>
          <w:spacing w:val="0"/>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olor w:val="000000"/>
          <w:spacing w:val="0"/>
          <w:kern w:val="0"/>
          <w:sz w:val="32"/>
          <w:szCs w:val="32"/>
          <w:highlight w:val="none"/>
          <w:lang w:val="en-US" w:eastAsia="zh-CN"/>
        </w:rPr>
      </w:pPr>
      <w:r>
        <w:rPr>
          <w:rFonts w:hint="eastAsia" w:ascii="Times New Roman" w:hAnsi="Times New Roman" w:eastAsia="仿宋_GB2312"/>
          <w:color w:val="000000"/>
          <w:spacing w:val="0"/>
          <w:kern w:val="0"/>
          <w:sz w:val="32"/>
          <w:szCs w:val="32"/>
          <w:highlight w:val="none"/>
          <w:lang w:val="en-US" w:eastAsia="zh-CN"/>
        </w:rPr>
        <w:t>2023年，晋江市民政局坚持以习近平新时代中国特色社会主义思想为指导，深入学习贯彻党的二十大和二十届二中全会精神，认真贯彻落实《条例》及各级有关政务公开工作的决策部署，围绕我市政务公开工作要点，着力深化政务公开，不断提升公开质效，以公开促落实、促规范、促服务取得积极成效，为全面推进新时代民政事业高质量发展提供了有力保障。主要工作情况如下：</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olor w:val="000000"/>
          <w:spacing w:val="0"/>
          <w:kern w:val="0"/>
          <w:sz w:val="32"/>
          <w:szCs w:val="32"/>
          <w:highlight w:val="none"/>
          <w:lang w:val="en-US" w:eastAsia="zh-CN"/>
        </w:rPr>
      </w:pPr>
      <w:r>
        <w:rPr>
          <w:rFonts w:hint="eastAsia" w:ascii="楷体" w:hAnsi="楷体" w:eastAsia="楷体" w:cs="楷体"/>
          <w:color w:val="000000"/>
          <w:spacing w:val="0"/>
          <w:kern w:val="0"/>
          <w:sz w:val="32"/>
          <w:szCs w:val="32"/>
          <w:highlight w:val="none"/>
          <w:lang w:val="en-US" w:eastAsia="zh-CN"/>
        </w:rPr>
        <w:t>（一）深化主动公开。</w:t>
      </w:r>
      <w:r>
        <w:rPr>
          <w:rFonts w:hint="eastAsia" w:ascii="Times New Roman" w:hAnsi="Times New Roman" w:eastAsia="仿宋_GB2312"/>
          <w:color w:val="000000"/>
          <w:spacing w:val="0"/>
          <w:kern w:val="0"/>
          <w:sz w:val="32"/>
          <w:szCs w:val="32"/>
          <w:highlight w:val="none"/>
          <w:lang w:val="en-US" w:eastAsia="zh-CN"/>
        </w:rPr>
        <w:t>坚持“以公开为常态、不公开为例外”原则，持续深入推进民政领域信息公开。</w:t>
      </w:r>
      <w:r>
        <w:rPr>
          <w:rFonts w:hint="eastAsia" w:ascii="仿宋_GB2312" w:hAnsi="仿宋_GB2312" w:eastAsia="仿宋_GB2312" w:cs="仿宋_GB2312"/>
          <w:b w:val="0"/>
          <w:bCs w:val="0"/>
          <w:color w:val="auto"/>
          <w:spacing w:val="0"/>
          <w:kern w:val="0"/>
          <w:sz w:val="32"/>
          <w:szCs w:val="32"/>
          <w:highlight w:val="none"/>
          <w:lang w:val="en-US" w:eastAsia="zh-CN"/>
        </w:rPr>
        <w:t>一是做好门户网站公开。</w:t>
      </w:r>
      <w:r>
        <w:rPr>
          <w:rFonts w:hint="eastAsia" w:ascii="Times New Roman" w:hAnsi="Times New Roman" w:eastAsia="仿宋_GB2312"/>
          <w:color w:val="000000"/>
          <w:spacing w:val="0"/>
          <w:kern w:val="0"/>
          <w:sz w:val="32"/>
          <w:szCs w:val="32"/>
          <w:highlight w:val="none"/>
          <w:lang w:val="en-US" w:eastAsia="zh-CN"/>
        </w:rPr>
        <w:t>围绕养老服务、社会救助、儿童福利、基层治理、社会事务以及社会组织登记管理、“双随机、一公开”检查等行政执法工作落实情况公开力度等民政重点领域及公众关注热点问题加大公开力度，</w:t>
      </w:r>
      <w:r>
        <w:rPr>
          <w:rFonts w:hint="eastAsia" w:ascii="Times New Roman" w:hAnsi="Times New Roman" w:eastAsia="仿宋_GB2312"/>
          <w:b w:val="0"/>
          <w:bCs w:val="0"/>
          <w:color w:val="000000"/>
          <w:spacing w:val="0"/>
          <w:kern w:val="0"/>
          <w:sz w:val="32"/>
          <w:szCs w:val="32"/>
          <w:highlight w:val="none"/>
          <w:lang w:val="en-US" w:eastAsia="zh-CN"/>
        </w:rPr>
        <w:t>2023</w:t>
      </w:r>
      <w:r>
        <w:rPr>
          <w:rFonts w:hint="eastAsia" w:ascii="Times New Roman" w:hAnsi="Times New Roman" w:eastAsia="仿宋_GB2312"/>
          <w:color w:val="000000"/>
          <w:spacing w:val="0"/>
          <w:kern w:val="0"/>
          <w:sz w:val="32"/>
          <w:szCs w:val="32"/>
          <w:highlight w:val="none"/>
          <w:lang w:val="en-US" w:eastAsia="zh-CN"/>
        </w:rPr>
        <w:t>年通过晋江市人民政府网站主动公开信息51条，其中，政府门户网站及信息公开平台发布民政政策文件10件（含规范性文件3件）。</w:t>
      </w:r>
      <w:r>
        <w:rPr>
          <w:rFonts w:hint="eastAsia" w:ascii="仿宋_GB2312" w:hAnsi="仿宋_GB2312" w:eastAsia="仿宋_GB2312" w:cs="仿宋_GB2312"/>
          <w:b w:val="0"/>
          <w:bCs w:val="0"/>
          <w:color w:val="000000"/>
          <w:spacing w:val="0"/>
          <w:kern w:val="0"/>
          <w:sz w:val="32"/>
          <w:szCs w:val="32"/>
          <w:highlight w:val="none"/>
          <w:lang w:val="en-US" w:eastAsia="zh-CN"/>
        </w:rPr>
        <w:t>二是深化新媒体建设。</w:t>
      </w:r>
      <w:r>
        <w:rPr>
          <w:rFonts w:hint="eastAsia" w:ascii="Times New Roman" w:hAnsi="Times New Roman" w:eastAsia="仿宋_GB2312"/>
          <w:color w:val="000000"/>
          <w:spacing w:val="0"/>
          <w:kern w:val="0"/>
          <w:sz w:val="32"/>
          <w:szCs w:val="32"/>
          <w:highlight w:val="none"/>
          <w:lang w:val="en-US" w:eastAsia="zh-CN"/>
        </w:rPr>
        <w:t>及时在公众号上发布民政工作动态、政策解读信息、公示公告等内容。截至目前，2023年共推送信息958条，涉及婚姻登记、低保、特困、高龄补贴、领养收养等民生事项。</w:t>
      </w:r>
      <w:r>
        <w:rPr>
          <w:rFonts w:hint="eastAsia" w:ascii="仿宋_GB2312" w:hAnsi="仿宋_GB2312" w:eastAsia="仿宋_GB2312" w:cs="仿宋_GB2312"/>
          <w:b w:val="0"/>
          <w:bCs w:val="0"/>
          <w:color w:val="000000"/>
          <w:spacing w:val="0"/>
          <w:kern w:val="0"/>
          <w:sz w:val="32"/>
          <w:szCs w:val="32"/>
          <w:highlight w:val="none"/>
          <w:lang w:val="en-US" w:eastAsia="zh-CN"/>
        </w:rPr>
        <w:t>三是规范村（居）务公开。</w:t>
      </w:r>
      <w:r>
        <w:rPr>
          <w:rFonts w:hint="eastAsia" w:ascii="Times New Roman" w:hAnsi="Times New Roman" w:eastAsia="仿宋_GB2312"/>
          <w:color w:val="000000"/>
          <w:spacing w:val="0"/>
          <w:kern w:val="0"/>
          <w:sz w:val="32"/>
          <w:szCs w:val="32"/>
          <w:highlight w:val="none"/>
          <w:lang w:val="en-US" w:eastAsia="zh-CN"/>
        </w:rPr>
        <w:t>指导各村（社区）严格落实“四议两公开”，整理汇总基层小微权力清单，推动村（居）务公开在“小微权力平台”上规范发布，做到村（居）务“线上+线下”同步公开。</w:t>
      </w:r>
    </w:p>
    <w:p>
      <w:pPr>
        <w:pStyle w:val="2"/>
        <w:rPr>
          <w:rFonts w:hint="eastAsia"/>
          <w:lang w:val="en-US" w:eastAsia="zh-CN"/>
        </w:rPr>
      </w:pPr>
      <w:r>
        <w:rPr>
          <w:rFonts w:hint="eastAsia"/>
          <w:lang w:val="en-US" w:eastAsia="zh-CN"/>
        </w:rPr>
        <w:drawing>
          <wp:inline distT="0" distB="0" distL="114300" distR="114300">
            <wp:extent cx="1965325" cy="2003425"/>
            <wp:effectExtent l="0" t="0" r="0" b="0"/>
            <wp:docPr id="4" name="图片 4" descr="法定主动公开内容_晋江市人民政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法定主动公开内容_晋江市人民政府"/>
                    <pic:cNvPicPr>
                      <a:picLocks noChangeAspect="1"/>
                    </pic:cNvPicPr>
                  </pic:nvPicPr>
                  <pic:blipFill>
                    <a:blip r:embed="rId4"/>
                    <a:srcRect l="775" r="-775" b="19985"/>
                    <a:stretch>
                      <a:fillRect/>
                    </a:stretch>
                  </pic:blipFill>
                  <pic:spPr>
                    <a:xfrm>
                      <a:off x="0" y="0"/>
                      <a:ext cx="1965325" cy="2003425"/>
                    </a:xfrm>
                    <a:prstGeom prst="rect">
                      <a:avLst/>
                    </a:prstGeom>
                  </pic:spPr>
                </pic:pic>
              </a:graphicData>
            </a:graphic>
          </wp:inline>
        </w:drawing>
      </w:r>
      <w:r>
        <w:rPr>
          <w:rFonts w:hint="eastAsia"/>
          <w:lang w:val="en-US" w:eastAsia="zh-CN"/>
        </w:rPr>
        <w:drawing>
          <wp:inline distT="0" distB="0" distL="114300" distR="114300">
            <wp:extent cx="3521710" cy="1935480"/>
            <wp:effectExtent l="0" t="0" r="0" b="0"/>
            <wp:docPr id="7" name="图片 7" descr="微信图片_20240123095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0123095340"/>
                    <pic:cNvPicPr>
                      <a:picLocks noChangeAspect="1"/>
                    </pic:cNvPicPr>
                  </pic:nvPicPr>
                  <pic:blipFill>
                    <a:blip r:embed="rId5"/>
                    <a:srcRect l="216" r="-216" b="2837"/>
                    <a:stretch>
                      <a:fillRect/>
                    </a:stretch>
                  </pic:blipFill>
                  <pic:spPr>
                    <a:xfrm>
                      <a:off x="0" y="0"/>
                      <a:ext cx="3521710" cy="1935480"/>
                    </a:xfrm>
                    <a:prstGeom prst="rect">
                      <a:avLst/>
                    </a:prstGeom>
                  </pic:spPr>
                </pic:pic>
              </a:graphicData>
            </a:graphic>
          </wp:inline>
        </w:drawing>
      </w:r>
    </w:p>
    <w:p>
      <w:pPr>
        <w:pStyle w:val="2"/>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政府网站公开                         政策解读动画视频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olor w:val="000000"/>
          <w:spacing w:val="0"/>
          <w:kern w:val="0"/>
          <w:sz w:val="32"/>
          <w:szCs w:val="32"/>
          <w:highlight w:val="none"/>
          <w:lang w:val="en-US" w:eastAsia="zh-CN"/>
        </w:rPr>
      </w:pPr>
      <w:r>
        <w:rPr>
          <w:rFonts w:hint="eastAsia" w:ascii="楷体" w:hAnsi="楷体" w:eastAsia="楷体" w:cs="楷体"/>
          <w:color w:val="000000"/>
          <w:spacing w:val="0"/>
          <w:kern w:val="0"/>
          <w:sz w:val="32"/>
          <w:szCs w:val="32"/>
          <w:highlight w:val="none"/>
          <w:lang w:val="en-US" w:eastAsia="zh-CN"/>
        </w:rPr>
        <w:t>（二）积极回应群众关切。</w:t>
      </w:r>
      <w:r>
        <w:rPr>
          <w:rFonts w:hint="eastAsia" w:ascii="仿宋_GB2312" w:hAnsi="仿宋_GB2312" w:eastAsia="仿宋_GB2312" w:cs="仿宋_GB2312"/>
          <w:b w:val="0"/>
          <w:bCs w:val="0"/>
          <w:color w:val="000000"/>
          <w:spacing w:val="0"/>
          <w:kern w:val="0"/>
          <w:sz w:val="32"/>
          <w:szCs w:val="32"/>
          <w:highlight w:val="none"/>
          <w:lang w:val="en-US" w:eastAsia="zh-CN"/>
        </w:rPr>
        <w:t>一是及时公开解读</w:t>
      </w:r>
      <w:r>
        <w:rPr>
          <w:rFonts w:hint="eastAsia" w:ascii="仿宋_GB2312" w:hAnsi="仿宋_GB2312" w:eastAsia="仿宋_GB2312" w:cs="仿宋_GB2312"/>
          <w:b/>
          <w:bCs/>
          <w:color w:val="000000"/>
          <w:spacing w:val="0"/>
          <w:kern w:val="0"/>
          <w:sz w:val="32"/>
          <w:szCs w:val="32"/>
          <w:highlight w:val="none"/>
          <w:lang w:val="en-US" w:eastAsia="zh-CN"/>
        </w:rPr>
        <w:t>。</w:t>
      </w:r>
      <w:r>
        <w:rPr>
          <w:rFonts w:hint="eastAsia" w:ascii="Times New Roman" w:hAnsi="Times New Roman" w:eastAsia="仿宋_GB2312"/>
          <w:color w:val="000000"/>
          <w:spacing w:val="0"/>
          <w:kern w:val="0"/>
          <w:sz w:val="32"/>
          <w:szCs w:val="32"/>
          <w:highlight w:val="none"/>
          <w:lang w:val="en-US" w:eastAsia="zh-CN"/>
        </w:rPr>
        <w:t>按照“谁起草、谁解读”原则，综合运用简明问答、图解等形式对民政领域政策文件开展全方位、多角度、形象化、通俗化解读，提升群众的政策知晓率、理解率、满意度。2023年，我局印发《关于进一步规范收养评估工作的通知》《关于提高孤儿基本生活最低养育标准并执行省定自然增长机制》《关于提高2024年残疾人两项补贴标准的通知》等3份规范性文件，及时通过晋江市人民政府门户网站公开和政策解读。</w:t>
      </w:r>
      <w:r>
        <w:rPr>
          <w:rFonts w:hint="eastAsia" w:ascii="仿宋_GB2312" w:hAnsi="仿宋_GB2312" w:eastAsia="仿宋_GB2312" w:cs="仿宋_GB2312"/>
          <w:b w:val="0"/>
          <w:bCs w:val="0"/>
          <w:color w:val="000000"/>
          <w:spacing w:val="0"/>
          <w:kern w:val="0"/>
          <w:sz w:val="32"/>
          <w:szCs w:val="32"/>
          <w:highlight w:val="none"/>
          <w:lang w:val="en-US" w:eastAsia="zh-CN"/>
        </w:rPr>
        <w:t>二是领导在线访谈。</w:t>
      </w:r>
      <w:r>
        <w:rPr>
          <w:rFonts w:hint="eastAsia" w:ascii="Times New Roman" w:hAnsi="Times New Roman" w:eastAsia="仿宋_GB2312"/>
          <w:color w:val="000000"/>
          <w:spacing w:val="0"/>
          <w:kern w:val="0"/>
          <w:sz w:val="32"/>
          <w:szCs w:val="32"/>
          <w:highlight w:val="none"/>
          <w:lang w:val="en-US" w:eastAsia="zh-CN"/>
        </w:rPr>
        <w:t>2023年7月31日，局党组成员、副局长施建生做客“局长在线”融媒直播间，详细解读低保、特困人员、低保边缘家庭、临时救助和2023年特困家庭“四帮四扶”工程等不同社会救助类型的认定标准、救助帮扶政策等，现场回应群众咨询。</w:t>
      </w:r>
      <w:r>
        <w:rPr>
          <w:rFonts w:hint="eastAsia" w:ascii="仿宋_GB2312" w:hAnsi="仿宋_GB2312" w:eastAsia="仿宋_GB2312" w:cs="仿宋_GB2312"/>
          <w:b w:val="0"/>
          <w:bCs w:val="0"/>
          <w:color w:val="000000"/>
          <w:spacing w:val="0"/>
          <w:kern w:val="0"/>
          <w:sz w:val="32"/>
          <w:szCs w:val="32"/>
          <w:highlight w:val="none"/>
          <w:lang w:val="en-US" w:eastAsia="zh-CN"/>
        </w:rPr>
        <w:t>三是动画解读政策。</w:t>
      </w:r>
      <w:r>
        <w:rPr>
          <w:rFonts w:hint="eastAsia" w:ascii="Times New Roman" w:hAnsi="Times New Roman" w:eastAsia="仿宋_GB2312"/>
          <w:color w:val="000000"/>
          <w:spacing w:val="0"/>
          <w:kern w:val="0"/>
          <w:sz w:val="32"/>
          <w:szCs w:val="32"/>
          <w:highlight w:val="none"/>
          <w:lang w:val="en-US" w:eastAsia="zh-CN"/>
        </w:rPr>
        <w:t>制作长者食堂、低保边缘家庭救助帮扶、残疾人两项补贴、事实无人抚养儿童、困难老年人家庭适老化改造、“四帮四扶”工程等7个政策解读动漫短视频，并在局机关、微信公众号等平台进行展播，用通俗易懂的语言及形式，不断提升群众政策知晓率。</w:t>
      </w:r>
      <w:r>
        <w:rPr>
          <w:rFonts w:hint="eastAsia" w:ascii="仿宋_GB2312" w:hAnsi="仿宋_GB2312" w:eastAsia="仿宋_GB2312" w:cs="仿宋_GB2312"/>
          <w:b w:val="0"/>
          <w:bCs w:val="0"/>
          <w:color w:val="000000"/>
          <w:spacing w:val="0"/>
          <w:kern w:val="0"/>
          <w:sz w:val="32"/>
          <w:szCs w:val="32"/>
          <w:highlight w:val="none"/>
          <w:lang w:val="en-US" w:eastAsia="zh-CN"/>
        </w:rPr>
        <w:t>四是巩固舆论阵地。</w:t>
      </w:r>
      <w:r>
        <w:rPr>
          <w:rFonts w:hint="eastAsia" w:ascii="Times New Roman" w:hAnsi="Times New Roman" w:eastAsia="仿宋_GB2312"/>
          <w:color w:val="000000"/>
          <w:spacing w:val="0"/>
          <w:kern w:val="0"/>
          <w:sz w:val="32"/>
          <w:szCs w:val="32"/>
          <w:highlight w:val="none"/>
          <w:lang w:val="en-US" w:eastAsia="zh-CN"/>
        </w:rPr>
        <w:t>畅通24小时业务咨询值班电话，严格落实接听、登记、办理等程序要求，及时回应群众关心的热点、难点、堵点问题。强化“晋江民政”微信公众号管理，及时回复群众在公众号上留言咨询的问题120余条，涉及婚姻登记、低保、特困、高龄补贴、领养收养等民生事项。</w:t>
      </w:r>
      <w:r>
        <w:rPr>
          <w:rFonts w:hint="eastAsia" w:ascii="仿宋_GB2312" w:hAnsi="仿宋_GB2312" w:eastAsia="仿宋_GB2312" w:cs="仿宋_GB2312"/>
          <w:b w:val="0"/>
          <w:bCs w:val="0"/>
          <w:color w:val="000000"/>
          <w:spacing w:val="0"/>
          <w:kern w:val="0"/>
          <w:sz w:val="32"/>
          <w:szCs w:val="32"/>
          <w:highlight w:val="none"/>
          <w:lang w:val="en-US" w:eastAsia="zh-CN"/>
        </w:rPr>
        <w:t>五是深入基层宣讲</w:t>
      </w:r>
      <w:r>
        <w:rPr>
          <w:rFonts w:hint="eastAsia" w:ascii="仿宋_GB2312" w:hAnsi="仿宋_GB2312" w:eastAsia="仿宋_GB2312" w:cs="仿宋_GB2312"/>
          <w:b/>
          <w:bCs/>
          <w:color w:val="000000"/>
          <w:spacing w:val="0"/>
          <w:kern w:val="0"/>
          <w:sz w:val="32"/>
          <w:szCs w:val="32"/>
          <w:highlight w:val="none"/>
          <w:lang w:val="en-US" w:eastAsia="zh-CN"/>
        </w:rPr>
        <w:t>。</w:t>
      </w:r>
      <w:r>
        <w:rPr>
          <w:rFonts w:hint="eastAsia" w:ascii="Times New Roman" w:hAnsi="Times New Roman" w:eastAsia="仿宋_GB2312"/>
          <w:color w:val="000000"/>
          <w:spacing w:val="0"/>
          <w:kern w:val="0"/>
          <w:sz w:val="32"/>
          <w:szCs w:val="32"/>
          <w:highlight w:val="none"/>
          <w:lang w:val="en-US" w:eastAsia="zh-CN"/>
        </w:rPr>
        <w:t>建立完善“服务保障基层推动工作落实制度”，由局领导带队到基层开展社会救助、养老服务、基层治理等政策宣讲18场次，并现场解答基层工作人员、群众咨询的问题。</w:t>
      </w:r>
    </w:p>
    <w:p>
      <w:pPr>
        <w:pStyle w:val="2"/>
        <w:rPr>
          <w:rFonts w:hint="eastAsia"/>
          <w:lang w:val="en-US" w:eastAsia="zh-CN"/>
        </w:rPr>
      </w:pPr>
      <w:r>
        <w:rPr>
          <w:rFonts w:hint="eastAsia"/>
          <w:lang w:val="en-US" w:eastAsia="zh-CN"/>
        </w:rPr>
        <w:drawing>
          <wp:inline distT="0" distB="0" distL="114300" distR="114300">
            <wp:extent cx="2744470" cy="2058670"/>
            <wp:effectExtent l="0" t="0" r="13970" b="13970"/>
            <wp:docPr id="1" name="图片 1" descr="局长在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局长在线"/>
                    <pic:cNvPicPr>
                      <a:picLocks noChangeAspect="1"/>
                    </pic:cNvPicPr>
                  </pic:nvPicPr>
                  <pic:blipFill>
                    <a:blip r:embed="rId6"/>
                    <a:stretch>
                      <a:fillRect/>
                    </a:stretch>
                  </pic:blipFill>
                  <pic:spPr>
                    <a:xfrm>
                      <a:off x="0" y="0"/>
                      <a:ext cx="2744470" cy="2058670"/>
                    </a:xfrm>
                    <a:prstGeom prst="rect">
                      <a:avLst/>
                    </a:prstGeom>
                  </pic:spPr>
                </pic:pic>
              </a:graphicData>
            </a:graphic>
          </wp:inline>
        </w:drawing>
      </w:r>
      <w:r>
        <w:rPr>
          <w:rFonts w:hint="eastAsia"/>
          <w:lang w:val="en-US" w:eastAsia="zh-CN"/>
        </w:rPr>
        <w:drawing>
          <wp:inline distT="0" distB="0" distL="114300" distR="114300">
            <wp:extent cx="2784475" cy="2088515"/>
            <wp:effectExtent l="0" t="0" r="4445" b="14605"/>
            <wp:docPr id="3" name="图片 3" descr="瑶琼调度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瑶琼调度会"/>
                    <pic:cNvPicPr>
                      <a:picLocks noChangeAspect="1"/>
                    </pic:cNvPicPr>
                  </pic:nvPicPr>
                  <pic:blipFill>
                    <a:blip r:embed="rId7"/>
                    <a:stretch>
                      <a:fillRect/>
                    </a:stretch>
                  </pic:blipFill>
                  <pic:spPr>
                    <a:xfrm>
                      <a:off x="0" y="0"/>
                      <a:ext cx="2784475" cy="2088515"/>
                    </a:xfrm>
                    <a:prstGeom prst="rect">
                      <a:avLst/>
                    </a:prstGeom>
                  </pic:spPr>
                </pic:pic>
              </a:graphicData>
            </a:graphic>
          </wp:inline>
        </w:drawing>
      </w:r>
    </w:p>
    <w:p>
      <w:pPr>
        <w:pStyle w:val="2"/>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做客“局长在线”融媒直播间            到磁灶镇瑶琼村开展政策解读</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olor w:val="000000"/>
          <w:spacing w:val="0"/>
          <w:kern w:val="0"/>
          <w:sz w:val="32"/>
          <w:szCs w:val="32"/>
          <w:highlight w:val="none"/>
          <w:lang w:val="en-US" w:eastAsia="zh-CN"/>
        </w:rPr>
      </w:pPr>
      <w:r>
        <w:rPr>
          <w:rFonts w:hint="eastAsia" w:ascii="楷体" w:hAnsi="楷体" w:eastAsia="楷体" w:cs="楷体"/>
          <w:color w:val="000000"/>
          <w:spacing w:val="0"/>
          <w:kern w:val="0"/>
          <w:sz w:val="32"/>
          <w:szCs w:val="32"/>
          <w:highlight w:val="none"/>
          <w:lang w:val="en-US" w:eastAsia="zh-CN"/>
        </w:rPr>
        <w:t>（三）规范办理依申请公开。</w:t>
      </w:r>
      <w:r>
        <w:rPr>
          <w:rFonts w:hint="eastAsia" w:ascii="Times New Roman" w:hAnsi="Times New Roman" w:eastAsia="仿宋_GB2312"/>
          <w:color w:val="000000"/>
          <w:spacing w:val="0"/>
          <w:kern w:val="0"/>
          <w:sz w:val="32"/>
          <w:szCs w:val="32"/>
          <w:highlight w:val="none"/>
          <w:lang w:val="en-US" w:eastAsia="zh-CN"/>
        </w:rPr>
        <w:t>健全依申请公开机制，形成信息公开的接收、登记、审核、办理、答复、归档等工作流程，妥善受理依申请公开。2023年，我局未收到信息公开申请，未发生针对局政府信息公开事务的行政复议及行政诉讼。</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olor w:val="000000"/>
          <w:spacing w:val="0"/>
          <w:kern w:val="0"/>
          <w:sz w:val="32"/>
          <w:szCs w:val="32"/>
          <w:highlight w:val="none"/>
          <w:lang w:val="en-US" w:eastAsia="zh-CN"/>
        </w:rPr>
      </w:pPr>
      <w:r>
        <w:rPr>
          <w:rFonts w:hint="eastAsia" w:ascii="楷体" w:hAnsi="楷体" w:eastAsia="楷体" w:cs="楷体"/>
          <w:color w:val="000000"/>
          <w:spacing w:val="0"/>
          <w:kern w:val="0"/>
          <w:sz w:val="32"/>
          <w:szCs w:val="32"/>
          <w:highlight w:val="none"/>
          <w:lang w:val="en-US" w:eastAsia="zh-CN"/>
        </w:rPr>
        <w:t>（四）优化政府信息管理。</w:t>
      </w:r>
      <w:r>
        <w:rPr>
          <w:rFonts w:hint="eastAsia" w:ascii="Times New Roman" w:hAnsi="Times New Roman" w:eastAsia="仿宋_GB2312"/>
          <w:color w:val="000000"/>
          <w:spacing w:val="0"/>
          <w:kern w:val="0"/>
          <w:sz w:val="32"/>
          <w:szCs w:val="32"/>
          <w:highlight w:val="none"/>
          <w:lang w:val="en-US" w:eastAsia="zh-CN"/>
        </w:rPr>
        <w:t>指定专人负责政府信息公开工作，统筹协调做好我局政府信息制作发布、依申请公开受理等工作。健全政府信息发布审查机制，对公开的各类政府信息严格内容审核和保密审查，坚持三审三校、先审后发，确保公开信息依法、及时、全面、准确。推广使用事前监管平台，严把信息内容“安全关”“质量关”。完善主动公开基本目录，动态调整行政权力事项、公共服务事项及其办事指南，推进标准化规范化建设。</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olor w:val="000000"/>
          <w:spacing w:val="0"/>
          <w:kern w:val="0"/>
          <w:sz w:val="32"/>
          <w:szCs w:val="32"/>
          <w:highlight w:val="none"/>
          <w:lang w:val="en-US" w:eastAsia="zh-CN"/>
        </w:rPr>
      </w:pPr>
      <w:r>
        <w:rPr>
          <w:rFonts w:hint="eastAsia" w:ascii="楷体" w:hAnsi="楷体" w:eastAsia="楷体" w:cs="楷体"/>
          <w:color w:val="000000"/>
          <w:spacing w:val="0"/>
          <w:kern w:val="0"/>
          <w:sz w:val="32"/>
          <w:szCs w:val="32"/>
          <w:highlight w:val="none"/>
          <w:lang w:val="en-US" w:eastAsia="zh-CN"/>
        </w:rPr>
        <w:t>（五）完善政府信息公开平台建设。</w:t>
      </w:r>
      <w:r>
        <w:rPr>
          <w:rFonts w:hint="eastAsia" w:ascii="Times New Roman" w:hAnsi="Times New Roman" w:eastAsia="仿宋_GB2312"/>
          <w:color w:val="000000"/>
          <w:spacing w:val="0"/>
          <w:kern w:val="0"/>
          <w:sz w:val="32"/>
          <w:szCs w:val="32"/>
          <w:highlight w:val="none"/>
          <w:lang w:val="en-US" w:eastAsia="zh-CN"/>
        </w:rPr>
        <w:t>依托市政府门户网站，优化调整政府信息公开专栏设置，发挥政务公开主渠道作用。落实政务新媒体规范发展指引，加强“晋江民政”微信公众号管理，主动顺应移动互联网传播规律，充分发挥政务公开新型平台作用。对照检查指标，每季度认真组织开展政府网站和政务新媒体自查，及时查找问题，不断整改提升。强化网络安全责任，落实防护措施，保障平台载体平稳安全运行。加强与各级新闻媒体、新闻网站的沟通联系，及时发布、报道民政领域方针政策、工作动态、亮点成效和经验做法，扩大政务公开受众面和影响力。2023年，在中国社会报、中国网、中国经济网、福建日报等省级及以上新闻媒体刊发报道42条。</w:t>
      </w:r>
    </w:p>
    <w:p>
      <w:pPr>
        <w:pStyle w:val="2"/>
        <w:rPr>
          <w:rFonts w:hint="eastAsia"/>
          <w:lang w:val="en-US" w:eastAsia="zh-CN"/>
        </w:rPr>
      </w:pPr>
      <w:r>
        <w:rPr>
          <w:rFonts w:hint="eastAsia"/>
          <w:lang w:val="en-US" w:eastAsia="zh-CN"/>
        </w:rPr>
        <w:drawing>
          <wp:inline distT="0" distB="0" distL="114300" distR="114300">
            <wp:extent cx="2816225" cy="2066925"/>
            <wp:effectExtent l="0" t="0" r="3175" b="5715"/>
            <wp:docPr id="5" name="图片 5" descr="微信图片_2024012309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123092327"/>
                    <pic:cNvPicPr>
                      <a:picLocks noChangeAspect="1"/>
                    </pic:cNvPicPr>
                  </pic:nvPicPr>
                  <pic:blipFill>
                    <a:blip r:embed="rId8"/>
                    <a:stretch>
                      <a:fillRect/>
                    </a:stretch>
                  </pic:blipFill>
                  <pic:spPr>
                    <a:xfrm>
                      <a:off x="0" y="0"/>
                      <a:ext cx="2816225" cy="2066925"/>
                    </a:xfrm>
                    <a:prstGeom prst="rect">
                      <a:avLst/>
                    </a:prstGeom>
                  </pic:spPr>
                </pic:pic>
              </a:graphicData>
            </a:graphic>
          </wp:inline>
        </w:drawing>
      </w:r>
      <w:r>
        <w:rPr>
          <w:rFonts w:hint="eastAsia"/>
          <w:lang w:val="en-US" w:eastAsia="zh-CN"/>
        </w:rPr>
        <w:drawing>
          <wp:inline distT="0" distB="0" distL="114300" distR="114300">
            <wp:extent cx="2608580" cy="2080260"/>
            <wp:effectExtent l="0" t="0" r="12700" b="7620"/>
            <wp:docPr id="6" name="图片 6" descr="20240119-健全议事规则 着力打造阳光政务_新闻频道_中国青年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240119-健全议事规则 着力打造阳光政务_新闻频道_中国青年网"/>
                    <pic:cNvPicPr>
                      <a:picLocks noChangeAspect="1"/>
                    </pic:cNvPicPr>
                  </pic:nvPicPr>
                  <pic:blipFill>
                    <a:blip r:embed="rId9"/>
                    <a:stretch>
                      <a:fillRect/>
                    </a:stretch>
                  </pic:blipFill>
                  <pic:spPr>
                    <a:xfrm>
                      <a:off x="0" y="0"/>
                      <a:ext cx="2608580" cy="2080260"/>
                    </a:xfrm>
                    <a:prstGeom prst="rect">
                      <a:avLst/>
                    </a:prstGeom>
                  </pic:spPr>
                </pic:pic>
              </a:graphicData>
            </a:graphic>
          </wp:inline>
        </w:drawing>
      </w:r>
    </w:p>
    <w:p>
      <w:pPr>
        <w:pStyle w:val="2"/>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市民政局获2023年度全国老区          政务公开工作获中国青年网刊发</w:t>
      </w:r>
    </w:p>
    <w:p>
      <w:pPr>
        <w:pStyle w:val="2"/>
        <w:ind w:firstLine="960" w:firstLineChars="40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宣传工作优秀奖</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color w:val="000000"/>
          <w:spacing w:val="0"/>
          <w:kern w:val="0"/>
          <w:sz w:val="32"/>
          <w:szCs w:val="32"/>
          <w:highlight w:val="none"/>
          <w:lang w:val="en-US" w:eastAsia="zh-CN"/>
        </w:rPr>
      </w:pPr>
      <w:r>
        <w:rPr>
          <w:rFonts w:hint="eastAsia" w:ascii="楷体" w:hAnsi="楷体" w:eastAsia="楷体" w:cs="楷体"/>
          <w:color w:val="000000"/>
          <w:spacing w:val="0"/>
          <w:kern w:val="0"/>
          <w:sz w:val="32"/>
          <w:szCs w:val="32"/>
          <w:highlight w:val="none"/>
          <w:lang w:val="en-US" w:eastAsia="zh-CN"/>
        </w:rPr>
        <w:t>（六）加强监督保障</w:t>
      </w:r>
      <w:r>
        <w:rPr>
          <w:rFonts w:hint="eastAsia" w:ascii="楷体" w:hAnsi="楷体" w:eastAsia="楷体" w:cs="楷体"/>
          <w:b w:val="0"/>
          <w:bCs w:val="0"/>
          <w:color w:val="000000"/>
          <w:spacing w:val="0"/>
          <w:kern w:val="0"/>
          <w:sz w:val="32"/>
          <w:szCs w:val="32"/>
          <w:highlight w:val="none"/>
          <w:lang w:val="en-US" w:eastAsia="zh-CN"/>
        </w:rPr>
        <w:t>。</w:t>
      </w:r>
      <w:r>
        <w:rPr>
          <w:rFonts w:hint="eastAsia" w:ascii="仿宋_GB2312" w:hAnsi="仿宋_GB2312" w:eastAsia="仿宋_GB2312" w:cs="仿宋_GB2312"/>
          <w:b w:val="0"/>
          <w:bCs w:val="0"/>
          <w:color w:val="000000"/>
          <w:spacing w:val="0"/>
          <w:kern w:val="0"/>
          <w:sz w:val="32"/>
          <w:szCs w:val="32"/>
          <w:highlight w:val="none"/>
          <w:lang w:val="en-US" w:eastAsia="zh-CN"/>
        </w:rPr>
        <w:t>一是明确职责分工</w:t>
      </w:r>
      <w:r>
        <w:rPr>
          <w:rFonts w:hint="eastAsia" w:ascii="仿宋_GB2312" w:hAnsi="仿宋_GB2312" w:eastAsia="仿宋_GB2312" w:cs="仿宋_GB2312"/>
          <w:b/>
          <w:bCs/>
          <w:color w:val="000000"/>
          <w:spacing w:val="0"/>
          <w:kern w:val="0"/>
          <w:sz w:val="32"/>
          <w:szCs w:val="32"/>
          <w:highlight w:val="none"/>
          <w:lang w:val="en-US" w:eastAsia="zh-CN"/>
        </w:rPr>
        <w:t>。</w:t>
      </w:r>
      <w:r>
        <w:rPr>
          <w:rFonts w:hint="eastAsia" w:ascii="Times New Roman" w:hAnsi="Times New Roman" w:eastAsia="仿宋_GB2312"/>
          <w:color w:val="000000"/>
          <w:spacing w:val="0"/>
          <w:kern w:val="0"/>
          <w:sz w:val="32"/>
          <w:szCs w:val="32"/>
          <w:highlight w:val="none"/>
          <w:lang w:val="en-US" w:eastAsia="zh-CN"/>
        </w:rPr>
        <w:t>对照政务公开年度工作要点提出的重点任务及民政工作实际，进一步明确我局公开事项、公开时限、责任科室和责任人等，指定专人负责政务信息的报送、发布、日常维护和更新等工作，并将政务信息公开工作落实情况纳入干部平时考核和年度绩效考核，推动该项工作落实落细。</w:t>
      </w:r>
      <w:r>
        <w:rPr>
          <w:rFonts w:hint="eastAsia" w:ascii="仿宋_GB2312" w:hAnsi="仿宋_GB2312" w:eastAsia="仿宋_GB2312" w:cs="仿宋_GB2312"/>
          <w:b w:val="0"/>
          <w:bCs w:val="0"/>
          <w:color w:val="000000"/>
          <w:spacing w:val="0"/>
          <w:kern w:val="0"/>
          <w:sz w:val="32"/>
          <w:szCs w:val="32"/>
          <w:highlight w:val="none"/>
          <w:lang w:val="en-US" w:eastAsia="zh-CN"/>
        </w:rPr>
        <w:t>二是加强经费保障和人员保障。</w:t>
      </w:r>
      <w:r>
        <w:rPr>
          <w:rFonts w:hint="eastAsia" w:ascii="Times New Roman" w:hAnsi="Times New Roman" w:eastAsia="仿宋_GB2312"/>
          <w:color w:val="000000"/>
          <w:spacing w:val="0"/>
          <w:kern w:val="0"/>
          <w:sz w:val="32"/>
          <w:szCs w:val="32"/>
          <w:highlight w:val="none"/>
          <w:lang w:val="en-US" w:eastAsia="zh-CN"/>
        </w:rPr>
        <w:t>将政府信息公开、政府网站及信息公开平台运维经费纳入2023年部门年度预算，从制度、经费等各层面保障政府信息公开工作有序实施。</w:t>
      </w:r>
      <w:r>
        <w:rPr>
          <w:rFonts w:hint="eastAsia" w:ascii="仿宋_GB2312" w:hAnsi="仿宋_GB2312" w:eastAsia="仿宋_GB2312" w:cs="仿宋_GB2312"/>
          <w:b w:val="0"/>
          <w:bCs w:val="0"/>
          <w:color w:val="000000"/>
          <w:spacing w:val="0"/>
          <w:kern w:val="0"/>
          <w:sz w:val="32"/>
          <w:szCs w:val="32"/>
          <w:highlight w:val="none"/>
          <w:lang w:val="en-US" w:eastAsia="zh-CN"/>
        </w:rPr>
        <w:t>三是强化政务公开工作监督。</w:t>
      </w:r>
      <w:r>
        <w:rPr>
          <w:rFonts w:hint="eastAsia" w:ascii="Times New Roman" w:hAnsi="Times New Roman" w:eastAsia="仿宋_GB2312"/>
          <w:color w:val="000000"/>
          <w:spacing w:val="0"/>
          <w:kern w:val="0"/>
          <w:sz w:val="32"/>
          <w:szCs w:val="32"/>
          <w:highlight w:val="none"/>
          <w:lang w:val="en-US" w:eastAsia="zh-CN"/>
        </w:rPr>
        <w:t>及时通报并督促整改工作中存在的问题，不断提升政务公开的标准化规范化水平。</w:t>
      </w:r>
    </w:p>
    <w:p>
      <w:pPr>
        <w:keepNext w:val="0"/>
        <w:keepLines w:val="0"/>
        <w:pageBreakBefore w:val="0"/>
        <w:widowControl/>
        <w:kinsoku/>
        <w:wordWrap/>
        <w:overflowPunct/>
        <w:topLinePunct w:val="0"/>
        <w:autoSpaceDE/>
        <w:autoSpaceDN/>
        <w:bidi w:val="0"/>
        <w:adjustRightInd/>
        <w:spacing w:line="540" w:lineRule="exact"/>
        <w:ind w:firstLine="643" w:firstLineChars="200"/>
        <w:jc w:val="left"/>
        <w:textAlignment w:val="auto"/>
        <w:rPr>
          <w:rFonts w:hint="eastAsia"/>
          <w:b/>
          <w:bCs w:val="0"/>
          <w:sz w:val="32"/>
          <w:szCs w:val="32"/>
          <w:highlight w:val="none"/>
        </w:rPr>
      </w:pPr>
      <w:r>
        <w:rPr>
          <w:rFonts w:hint="eastAsia" w:ascii="黑体" w:hAnsi="Times New Roman" w:eastAsia="黑体"/>
          <w:b/>
          <w:bCs w:val="0"/>
          <w:color w:val="000000"/>
          <w:spacing w:val="0"/>
          <w:sz w:val="32"/>
          <w:szCs w:val="32"/>
          <w:highlight w:val="none"/>
        </w:rPr>
        <w:t>二、主动公开政府信息情况</w:t>
      </w:r>
    </w:p>
    <w:tbl>
      <w:tblPr>
        <w:tblStyle w:val="4"/>
        <w:tblW w:w="90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29"/>
        <w:gridCol w:w="1559"/>
        <w:gridCol w:w="1747"/>
        <w:gridCol w:w="2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9058" w:type="dxa"/>
            <w:gridSpan w:val="4"/>
            <w:shd w:val="clear" w:color="auto" w:fill="9CC2E5"/>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信息内容</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本年新</w:t>
            </w:r>
            <w:r>
              <w:rPr>
                <w:rFonts w:ascii="Times New Roman" w:hAnsi="Times New Roman" w:eastAsia="Times New Roman" w:cs="Times New Roman"/>
                <w:color w:val="000000"/>
                <w:highlight w:val="none"/>
              </w:rPr>
              <w:br w:type="textWrapping"/>
            </w:r>
            <w:r>
              <w:rPr>
                <w:rFonts w:hint="eastAsia"/>
                <w:color w:val="000000"/>
                <w:highlight w:val="none"/>
              </w:rPr>
              <w:t>制作数量</w:t>
            </w:r>
          </w:p>
        </w:tc>
        <w:tc>
          <w:tcPr>
            <w:tcW w:w="17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本年新</w:t>
            </w:r>
            <w:r>
              <w:rPr>
                <w:rFonts w:ascii="Times New Roman" w:hAnsi="Times New Roman" w:eastAsia="Times New Roman" w:cs="Times New Roman"/>
                <w:color w:val="000000"/>
                <w:highlight w:val="none"/>
              </w:rPr>
              <w:br w:type="textWrapping"/>
            </w:r>
            <w:r>
              <w:rPr>
                <w:rFonts w:hint="eastAsia"/>
                <w:color w:val="000000"/>
                <w:highlight w:val="none"/>
              </w:rPr>
              <w:t>公开数量</w:t>
            </w:r>
          </w:p>
        </w:tc>
        <w:tc>
          <w:tcPr>
            <w:tcW w:w="242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对外公开总数量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规章</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c>
          <w:tcPr>
            <w:tcW w:w="17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c>
          <w:tcPr>
            <w:tcW w:w="242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规范性文件</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hint="eastAsia" w:ascii="Times New Roman" w:hAnsi="Times New Roman" w:eastAsia="方正黑体简体" w:cs="Times New Roman"/>
                <w:b/>
                <w:bCs/>
                <w:color w:val="000000"/>
                <w:highlight w:val="none"/>
                <w:lang w:eastAsia="zh-CN"/>
              </w:rPr>
            </w:pPr>
            <w:r>
              <w:rPr>
                <w:rFonts w:hint="eastAsia" w:ascii="Times New Roman" w:hAnsi="Times New Roman" w:eastAsia="方正黑体简体" w:cs="Times New Roman"/>
                <w:b/>
                <w:bCs/>
                <w:color w:val="000000"/>
                <w:highlight w:val="none"/>
                <w:lang w:val="en-US" w:eastAsia="zh-CN"/>
              </w:rPr>
              <w:t>3</w:t>
            </w:r>
          </w:p>
        </w:tc>
        <w:tc>
          <w:tcPr>
            <w:tcW w:w="17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hint="eastAsia" w:ascii="Times New Roman" w:hAnsi="Times New Roman" w:eastAsia="方正黑体简体" w:cs="Times New Roman"/>
                <w:b/>
                <w:bCs/>
                <w:color w:val="000000"/>
                <w:highlight w:val="none"/>
                <w:lang w:eastAsia="zh-CN"/>
              </w:rPr>
            </w:pPr>
            <w:r>
              <w:rPr>
                <w:rFonts w:hint="eastAsia" w:ascii="Times New Roman" w:hAnsi="Times New Roman" w:eastAsia="方正黑体简体" w:cs="Times New Roman"/>
                <w:b/>
                <w:bCs/>
                <w:color w:val="000000"/>
                <w:highlight w:val="none"/>
                <w:lang w:val="en-US" w:eastAsia="zh-CN"/>
              </w:rPr>
              <w:t>3</w:t>
            </w:r>
          </w:p>
        </w:tc>
        <w:tc>
          <w:tcPr>
            <w:tcW w:w="242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hint="eastAsia" w:ascii="Times New Roman" w:hAnsi="Times New Roman" w:eastAsia="方正黑体简体" w:cs="Times New Roman"/>
                <w:b/>
                <w:bCs/>
                <w:color w:val="000000"/>
                <w:highlight w:val="none"/>
                <w:lang w:eastAsia="zh-CN"/>
              </w:rPr>
            </w:pPr>
            <w:r>
              <w:rPr>
                <w:rFonts w:hint="eastAsia" w:ascii="Times New Roman" w:hAnsi="Times New Roman" w:eastAsia="方正黑体简体" w:cs="Times New Roman"/>
                <w:b/>
                <w:bCs/>
                <w:color w:val="000000"/>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9058" w:type="dxa"/>
            <w:gridSpan w:val="4"/>
            <w:shd w:val="clear" w:color="auto" w:fill="9CC2E5"/>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ind w:firstLine="720" w:firstLineChars="300"/>
              <w:jc w:val="center"/>
              <w:textAlignment w:val="auto"/>
              <w:rPr>
                <w:rFonts w:ascii="Times New Roman" w:hAnsi="Times New Roman" w:eastAsia="方正黑体简体" w:cs="Times New Roman"/>
                <w:b/>
                <w:bCs/>
                <w:color w:val="000000"/>
                <w:highlight w:val="none"/>
              </w:rPr>
            </w:pPr>
            <w:r>
              <w:rPr>
                <w:rFonts w:hint="eastAsia"/>
                <w:color w:val="000000"/>
                <w:highlight w:val="none"/>
              </w:rPr>
              <w:t>信息内容</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上一年项目数量</w:t>
            </w:r>
          </w:p>
        </w:tc>
        <w:tc>
          <w:tcPr>
            <w:tcW w:w="17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本年增</w:t>
            </w:r>
            <w:r>
              <w:rPr>
                <w:rFonts w:ascii="Times New Roman" w:hAnsi="Times New Roman" w:eastAsia="Times New Roman" w:cs="Times New Roman"/>
                <w:color w:val="000000"/>
                <w:highlight w:val="none"/>
              </w:rPr>
              <w:t>/</w:t>
            </w:r>
            <w:r>
              <w:rPr>
                <w:rFonts w:hint="eastAsia"/>
                <w:color w:val="000000"/>
                <w:highlight w:val="none"/>
              </w:rPr>
              <w:t>减</w:t>
            </w:r>
          </w:p>
        </w:tc>
        <w:tc>
          <w:tcPr>
            <w:tcW w:w="242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行政许可</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hint="eastAsia" w:ascii="Times New Roman" w:hAnsi="Times New Roman" w:eastAsia="方正黑体简体" w:cs="Times New Roman"/>
                <w:b/>
                <w:bCs/>
                <w:color w:val="000000"/>
                <w:highlight w:val="none"/>
                <w:lang w:eastAsia="zh-CN"/>
              </w:rPr>
            </w:pPr>
            <w:r>
              <w:rPr>
                <w:rFonts w:hint="eastAsia" w:ascii="Times New Roman" w:hAnsi="Times New Roman" w:eastAsia="方正黑体简体" w:cs="Times New Roman"/>
                <w:b/>
                <w:bCs/>
                <w:color w:val="000000"/>
                <w:highlight w:val="none"/>
                <w:lang w:val="en-US" w:eastAsia="zh-CN"/>
              </w:rPr>
              <w:t>0</w:t>
            </w:r>
          </w:p>
        </w:tc>
        <w:tc>
          <w:tcPr>
            <w:tcW w:w="17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hint="eastAsia" w:ascii="Times New Roman" w:hAnsi="Times New Roman" w:eastAsia="方正黑体简体" w:cs="Times New Roman"/>
                <w:b/>
                <w:bCs/>
                <w:color w:val="000000"/>
                <w:highlight w:val="none"/>
                <w:lang w:eastAsia="zh-CN"/>
              </w:rPr>
            </w:pPr>
            <w:r>
              <w:rPr>
                <w:rFonts w:hint="eastAsia" w:ascii="Times New Roman" w:hAnsi="Times New Roman" w:eastAsia="方正黑体简体" w:cs="Times New Roman"/>
                <w:b/>
                <w:bCs/>
                <w:color w:val="000000"/>
                <w:highlight w:val="none"/>
                <w:lang w:val="en-US" w:eastAsia="zh-CN"/>
              </w:rPr>
              <w:t>0</w:t>
            </w:r>
          </w:p>
        </w:tc>
        <w:tc>
          <w:tcPr>
            <w:tcW w:w="242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hint="eastAsia" w:ascii="Times New Roman" w:hAnsi="Times New Roman" w:eastAsia="方正黑体简体" w:cs="Times New Roman"/>
                <w:b/>
                <w:bCs/>
                <w:color w:val="000000"/>
                <w:highlight w:val="none"/>
                <w:lang w:eastAsia="zh-CN"/>
              </w:rPr>
            </w:pPr>
            <w:r>
              <w:rPr>
                <w:rFonts w:hint="eastAsia" w:ascii="Times New Roman" w:hAnsi="Times New Roman" w:eastAsia="方正黑体简体" w:cs="Times New Roman"/>
                <w:b/>
                <w:bCs/>
                <w:color w:val="000000"/>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其他对外管理服务事项</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c>
          <w:tcPr>
            <w:tcW w:w="17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c>
          <w:tcPr>
            <w:tcW w:w="242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9058" w:type="dxa"/>
            <w:gridSpan w:val="4"/>
            <w:shd w:val="clear" w:color="auto" w:fill="9CC2E5"/>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ind w:firstLine="720" w:firstLineChars="300"/>
              <w:jc w:val="center"/>
              <w:textAlignment w:val="auto"/>
              <w:rPr>
                <w:rFonts w:ascii="Times New Roman" w:hAnsi="Times New Roman" w:eastAsia="方正黑体简体" w:cs="Times New Roman"/>
                <w:b/>
                <w:bCs/>
                <w:color w:val="000000"/>
                <w:highlight w:val="none"/>
              </w:rPr>
            </w:pPr>
            <w:r>
              <w:rPr>
                <w:rFonts w:hint="eastAsia"/>
                <w:color w:val="000000"/>
                <w:highlight w:val="none"/>
              </w:rPr>
              <w:t>信息内容</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上一年项目数量</w:t>
            </w:r>
          </w:p>
        </w:tc>
        <w:tc>
          <w:tcPr>
            <w:tcW w:w="17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本年增</w:t>
            </w:r>
            <w:r>
              <w:rPr>
                <w:rFonts w:ascii="Times New Roman" w:hAnsi="Times New Roman" w:eastAsia="Times New Roman" w:cs="Times New Roman"/>
                <w:color w:val="000000"/>
                <w:highlight w:val="none"/>
              </w:rPr>
              <w:t>/</w:t>
            </w:r>
            <w:r>
              <w:rPr>
                <w:rFonts w:hint="eastAsia"/>
                <w:color w:val="000000"/>
                <w:highlight w:val="none"/>
              </w:rPr>
              <w:t>减</w:t>
            </w:r>
          </w:p>
        </w:tc>
        <w:tc>
          <w:tcPr>
            <w:tcW w:w="242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行政处罚</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c>
          <w:tcPr>
            <w:tcW w:w="17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c>
          <w:tcPr>
            <w:tcW w:w="242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行政强制</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c>
          <w:tcPr>
            <w:tcW w:w="17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c>
          <w:tcPr>
            <w:tcW w:w="242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9058" w:type="dxa"/>
            <w:gridSpan w:val="4"/>
            <w:shd w:val="clear" w:color="auto" w:fill="9CC2E5"/>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信息内容</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上一年项目数量</w:t>
            </w:r>
          </w:p>
        </w:tc>
        <w:tc>
          <w:tcPr>
            <w:tcW w:w="4170" w:type="dxa"/>
            <w:gridSpan w:val="2"/>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本年增</w:t>
            </w:r>
            <w:r>
              <w:rPr>
                <w:rFonts w:ascii="Times New Roman" w:hAnsi="Times New Roman" w:eastAsia="Times New Roman" w:cs="Times New Roman"/>
                <w:color w:val="000000"/>
                <w:highlight w:val="none"/>
              </w:rPr>
              <w:t>/</w:t>
            </w:r>
            <w:r>
              <w:rPr>
                <w:rFonts w:hint="eastAsia"/>
                <w:color w:val="000000"/>
                <w:highlight w:val="none"/>
              </w:rPr>
              <w:t>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行政事业性收费</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c>
          <w:tcPr>
            <w:tcW w:w="4170" w:type="dxa"/>
            <w:gridSpan w:val="2"/>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9058" w:type="dxa"/>
            <w:gridSpan w:val="4"/>
            <w:shd w:val="clear" w:color="auto" w:fill="9CC2E5"/>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信息内容</w:t>
            </w:r>
          </w:p>
        </w:tc>
        <w:tc>
          <w:tcPr>
            <w:tcW w:w="1559" w:type="dxa"/>
            <w:noWrap w:val="0"/>
            <w:vAlign w:val="center"/>
          </w:tcPr>
          <w:p>
            <w:pPr>
              <w:keepNext w:val="0"/>
              <w:keepLines w:val="0"/>
              <w:pageBreakBefore w:val="0"/>
              <w:widowControl/>
              <w:kinsoku/>
              <w:wordWrap/>
              <w:overflowPunct/>
              <w:topLinePunct w:val="0"/>
              <w:autoSpaceDE/>
              <w:autoSpaceDN/>
              <w:bidi w:val="0"/>
              <w:adjustRightInd/>
              <w:spacing w:line="540" w:lineRule="exact"/>
              <w:jc w:val="center"/>
              <w:textAlignment w:val="auto"/>
              <w:rPr>
                <w:rFonts w:ascii="Times New Roman" w:hAnsi="Times New Roman" w:eastAsia="Times New Roman"/>
                <w:color w:val="000000"/>
                <w:kern w:val="0"/>
                <w:sz w:val="24"/>
                <w:szCs w:val="24"/>
                <w:highlight w:val="none"/>
              </w:rPr>
            </w:pPr>
            <w:r>
              <w:rPr>
                <w:rFonts w:hint="eastAsia" w:ascii="宋体" w:hAnsi="宋体" w:cs="宋体"/>
                <w:color w:val="000000"/>
                <w:kern w:val="0"/>
                <w:sz w:val="24"/>
                <w:szCs w:val="24"/>
                <w:highlight w:val="none"/>
              </w:rPr>
              <w:t>采购项目数量</w:t>
            </w:r>
          </w:p>
        </w:tc>
        <w:tc>
          <w:tcPr>
            <w:tcW w:w="4170" w:type="dxa"/>
            <w:gridSpan w:val="2"/>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332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政府集中采购</w:t>
            </w:r>
          </w:p>
        </w:tc>
        <w:tc>
          <w:tcPr>
            <w:tcW w:w="155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170" w:type="dxa"/>
            <w:gridSpan w:val="2"/>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ascii="Times New Roman" w:hAnsi="Times New Roman" w:eastAsia="方正黑体简体" w:cs="Times New Roman"/>
                <w:b/>
                <w:bCs/>
                <w:color w:val="000000"/>
                <w:highlight w:val="none"/>
              </w:rPr>
              <w:t>0</w:t>
            </w:r>
          </w:p>
        </w:tc>
      </w:tr>
    </w:tbl>
    <w:p>
      <w:pPr>
        <w:pStyle w:val="2"/>
        <w:keepNext w:val="0"/>
        <w:keepLines w:val="0"/>
        <w:pageBreakBefore w:val="0"/>
        <w:kinsoku/>
        <w:wordWrap/>
        <w:overflowPunct/>
        <w:topLinePunct w:val="0"/>
        <w:autoSpaceDE/>
        <w:autoSpaceDN/>
        <w:bidi w:val="0"/>
        <w:adjustRightInd/>
        <w:spacing w:line="540" w:lineRule="exact"/>
        <w:textAlignment w:val="auto"/>
        <w:rPr>
          <w:rFonts w:hint="eastAsia"/>
          <w:highlight w:val="none"/>
        </w:rPr>
      </w:pPr>
    </w:p>
    <w:p>
      <w:pPr>
        <w:keepNext w:val="0"/>
        <w:keepLines w:val="0"/>
        <w:pageBreakBefore w:val="0"/>
        <w:widowControl/>
        <w:numPr>
          <w:numId w:val="0"/>
        </w:numPr>
        <w:kinsoku/>
        <w:wordWrap/>
        <w:overflowPunct/>
        <w:topLinePunct w:val="0"/>
        <w:autoSpaceDE/>
        <w:autoSpaceDN/>
        <w:bidi w:val="0"/>
        <w:adjustRightInd/>
        <w:spacing w:line="540" w:lineRule="exact"/>
        <w:ind w:firstLine="640" w:firstLineChars="200"/>
        <w:jc w:val="left"/>
        <w:textAlignment w:val="auto"/>
        <w:rPr>
          <w:rFonts w:hint="eastAsia" w:ascii="黑体" w:hAnsi="Times New Roman" w:eastAsia="黑体" w:cs="Times New Roman"/>
          <w:bCs/>
          <w:color w:val="000000"/>
          <w:spacing w:val="0"/>
          <w:sz w:val="32"/>
          <w:szCs w:val="32"/>
          <w:highlight w:val="none"/>
        </w:rPr>
      </w:pPr>
      <w:r>
        <w:rPr>
          <w:rFonts w:hint="eastAsia" w:ascii="黑体" w:hAnsi="Times New Roman" w:eastAsia="黑体" w:cs="Times New Roman"/>
          <w:bCs/>
          <w:color w:val="000000"/>
          <w:spacing w:val="0"/>
          <w:sz w:val="32"/>
          <w:szCs w:val="32"/>
          <w:highlight w:val="none"/>
          <w:lang w:eastAsia="zh-CN"/>
        </w:rPr>
        <w:t>三</w:t>
      </w:r>
      <w:r>
        <w:rPr>
          <w:rFonts w:hint="eastAsia" w:ascii="黑体" w:hAnsi="Times New Roman" w:eastAsia="黑体"/>
          <w:b/>
          <w:bCs w:val="0"/>
          <w:color w:val="000000"/>
          <w:spacing w:val="0"/>
          <w:sz w:val="32"/>
          <w:szCs w:val="32"/>
          <w:highlight w:val="none"/>
        </w:rPr>
        <w:t>、</w:t>
      </w:r>
      <w:r>
        <w:rPr>
          <w:rFonts w:hint="eastAsia" w:ascii="黑体" w:hAnsi="Times New Roman" w:eastAsia="黑体" w:cs="Times New Roman"/>
          <w:bCs/>
          <w:color w:val="000000"/>
          <w:spacing w:val="0"/>
          <w:sz w:val="32"/>
          <w:szCs w:val="32"/>
          <w:highlight w:val="none"/>
        </w:rPr>
        <w:t>收到和处理政府信息公开申请情况</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0"/>
        <w:gridCol w:w="1196"/>
        <w:gridCol w:w="2004"/>
        <w:gridCol w:w="594"/>
        <w:gridCol w:w="670"/>
        <w:gridCol w:w="670"/>
        <w:gridCol w:w="825"/>
        <w:gridCol w:w="825"/>
        <w:gridCol w:w="517"/>
        <w:gridCol w:w="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7" w:type="pct"/>
            <w:gridSpan w:val="3"/>
            <w:vMerge w:val="restart"/>
            <w:noWrap w:val="0"/>
            <w:vAlign w:val="center"/>
          </w:tcPr>
          <w:p>
            <w:pPr>
              <w:keepNext w:val="0"/>
              <w:keepLines w:val="0"/>
              <w:pageBreakBefore w:val="0"/>
              <w:widowControl/>
              <w:kinsoku/>
              <w:wordWrap/>
              <w:overflowPunct/>
              <w:topLinePunct w:val="0"/>
              <w:autoSpaceDE/>
              <w:autoSpaceDN/>
              <w:bidi w:val="0"/>
              <w:adjustRightInd/>
              <w:spacing w:line="540" w:lineRule="exact"/>
              <w:jc w:val="center"/>
              <w:textAlignment w:val="auto"/>
              <w:rPr>
                <w:rFonts w:ascii="Times New Roman" w:hAnsi="Times New Roman" w:eastAsia="Times New Roman"/>
                <w:color w:val="000000"/>
                <w:kern w:val="0"/>
                <w:sz w:val="24"/>
                <w:szCs w:val="24"/>
                <w:highlight w:val="none"/>
              </w:rPr>
            </w:pPr>
            <w:r>
              <w:rPr>
                <w:rFonts w:hint="eastAsia" w:ascii="宋体" w:hAnsi="宋体" w:cs="宋体"/>
                <w:color w:val="000000"/>
                <w:kern w:val="0"/>
                <w:sz w:val="24"/>
                <w:szCs w:val="24"/>
                <w:highlight w:val="none"/>
              </w:rPr>
              <w:t>（本列数据的勾稽关系为：第一项加第二项之和，等于第三项加第四项之和）</w:t>
            </w:r>
          </w:p>
        </w:tc>
        <w:tc>
          <w:tcPr>
            <w:tcW w:w="2563" w:type="pct"/>
            <w:gridSpan w:val="7"/>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7" w:type="pct"/>
            <w:gridSpan w:val="3"/>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330" w:type="pct"/>
            <w:vMerge w:val="restar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自然人</w:t>
            </w:r>
          </w:p>
        </w:tc>
        <w:tc>
          <w:tcPr>
            <w:tcW w:w="1946" w:type="pct"/>
            <w:gridSpan w:val="5"/>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法人或其他组织</w:t>
            </w:r>
          </w:p>
        </w:tc>
        <w:tc>
          <w:tcPr>
            <w:tcW w:w="287" w:type="pct"/>
            <w:vMerge w:val="restart"/>
            <w:noWrap w:val="0"/>
            <w:vAlign w:val="center"/>
          </w:tcPr>
          <w:p>
            <w:pPr>
              <w:keepNext w:val="0"/>
              <w:keepLines w:val="0"/>
              <w:pageBreakBefore w:val="0"/>
              <w:kinsoku/>
              <w:wordWrap/>
              <w:overflowPunct/>
              <w:topLinePunct w:val="0"/>
              <w:autoSpaceDE/>
              <w:autoSpaceDN/>
              <w:bidi w:val="0"/>
              <w:adjustRightInd/>
              <w:spacing w:line="540" w:lineRule="exact"/>
              <w:jc w:val="center"/>
              <w:textAlignment w:val="auto"/>
              <w:rPr>
                <w:rFonts w:ascii="Times New Roman" w:hAnsi="Times New Roman" w:eastAsia="Times New Roman"/>
                <w:color w:val="000000"/>
                <w:kern w:val="0"/>
                <w:sz w:val="24"/>
                <w:szCs w:val="24"/>
                <w:highlight w:val="none"/>
              </w:rPr>
            </w:pPr>
            <w:r>
              <w:rPr>
                <w:rFonts w:hint="eastAsia" w:ascii="宋体" w:hAnsi="宋体" w:cs="宋体"/>
                <w:color w:val="000000"/>
                <w:kern w:val="0"/>
                <w:sz w:val="24"/>
                <w:szCs w:val="24"/>
                <w:highlight w:val="none"/>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2437" w:type="pct"/>
            <w:gridSpan w:val="3"/>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330"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商业企业</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科研机构</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社会公益组织</w:t>
            </w:r>
          </w:p>
        </w:tc>
        <w:tc>
          <w:tcPr>
            <w:tcW w:w="458" w:type="pct"/>
            <w:noWrap w:val="0"/>
            <w:vAlign w:val="center"/>
          </w:tcPr>
          <w:p>
            <w:pPr>
              <w:keepNext w:val="0"/>
              <w:keepLines w:val="0"/>
              <w:pageBreakBefore w:val="0"/>
              <w:widowControl/>
              <w:kinsoku/>
              <w:wordWrap/>
              <w:overflowPunct/>
              <w:topLinePunct w:val="0"/>
              <w:autoSpaceDE/>
              <w:autoSpaceDN/>
              <w:bidi w:val="0"/>
              <w:adjustRightInd/>
              <w:spacing w:line="540" w:lineRule="exact"/>
              <w:jc w:val="center"/>
              <w:textAlignment w:val="auto"/>
              <w:rPr>
                <w:rFonts w:ascii="Times New Roman" w:hAnsi="Times New Roman" w:eastAsia="Times New Roman"/>
                <w:color w:val="000000"/>
                <w:kern w:val="0"/>
                <w:sz w:val="24"/>
                <w:szCs w:val="24"/>
                <w:highlight w:val="none"/>
              </w:rPr>
            </w:pPr>
            <w:r>
              <w:rPr>
                <w:rFonts w:hint="eastAsia" w:ascii="宋体" w:hAnsi="宋体" w:cs="宋体"/>
                <w:color w:val="000000"/>
                <w:kern w:val="0"/>
                <w:sz w:val="24"/>
                <w:szCs w:val="24"/>
                <w:highlight w:val="none"/>
              </w:rPr>
              <w:t>法律服务机构</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其他</w:t>
            </w:r>
          </w:p>
        </w:tc>
        <w:tc>
          <w:tcPr>
            <w:tcW w:w="287" w:type="pct"/>
            <w:vMerge w:val="continue"/>
            <w:noWrap w:val="0"/>
            <w:vAlign w:val="center"/>
          </w:tcPr>
          <w:p>
            <w:pPr>
              <w:keepNext w:val="0"/>
              <w:keepLines w:val="0"/>
              <w:pageBreakBefore w:val="0"/>
              <w:widowControl/>
              <w:kinsoku/>
              <w:wordWrap/>
              <w:overflowPunct/>
              <w:topLinePunct w:val="0"/>
              <w:autoSpaceDE/>
              <w:autoSpaceDN/>
              <w:bidi w:val="0"/>
              <w:adjustRightInd/>
              <w:spacing w:line="540" w:lineRule="exact"/>
              <w:jc w:val="center"/>
              <w:textAlignment w:val="auto"/>
              <w:rPr>
                <w:rFonts w:ascii="Times New Roman" w:hAnsi="Times New Roman" w:eastAsia="Times New Roman"/>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2437" w:type="pct"/>
            <w:gridSpan w:val="3"/>
            <w:noWrap w:val="0"/>
            <w:vAlign w:val="center"/>
          </w:tcPr>
          <w:p>
            <w:pPr>
              <w:keepNext w:val="0"/>
              <w:keepLines w:val="0"/>
              <w:pageBreakBefore w:val="0"/>
              <w:widowControl/>
              <w:kinsoku/>
              <w:wordWrap/>
              <w:overflowPunct/>
              <w:topLinePunct w:val="0"/>
              <w:autoSpaceDE/>
              <w:autoSpaceDN/>
              <w:bidi w:val="0"/>
              <w:adjustRightInd/>
              <w:spacing w:line="540" w:lineRule="exact"/>
              <w:jc w:val="center"/>
              <w:textAlignment w:val="auto"/>
              <w:rPr>
                <w:rFonts w:ascii="Times New Roman" w:hAnsi="Times New Roman" w:eastAsia="Times New Roman"/>
                <w:color w:val="000000"/>
                <w:kern w:val="0"/>
                <w:sz w:val="24"/>
                <w:szCs w:val="24"/>
                <w:highlight w:val="none"/>
              </w:rPr>
            </w:pPr>
            <w:r>
              <w:rPr>
                <w:rFonts w:hint="eastAsia" w:ascii="宋体" w:hAnsi="宋体" w:cs="宋体"/>
                <w:color w:val="000000"/>
                <w:kern w:val="0"/>
                <w:sz w:val="24"/>
                <w:szCs w:val="24"/>
                <w:highlight w:val="none"/>
              </w:rPr>
              <w:t>一、本年新收政府信息公开申请数量</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keepNext w:val="0"/>
              <w:keepLines w:val="0"/>
              <w:pageBreakBefore w:val="0"/>
              <w:widowControl/>
              <w:kinsoku/>
              <w:wordWrap/>
              <w:overflowPunct/>
              <w:topLinePunct w:val="0"/>
              <w:autoSpaceDE/>
              <w:autoSpaceDN/>
              <w:bidi w:val="0"/>
              <w:adjustRightInd/>
              <w:spacing w:line="540" w:lineRule="exact"/>
              <w:jc w:val="center"/>
              <w:textAlignment w:val="auto"/>
              <w:rPr>
                <w:rFonts w:ascii="Times New Roman" w:hAnsi="Times New Roman" w:eastAsia="Times New Roman"/>
                <w:color w:val="000000"/>
                <w:kern w:val="0"/>
                <w:sz w:val="24"/>
                <w:szCs w:val="24"/>
                <w:highlight w:val="none"/>
              </w:rPr>
            </w:pPr>
            <w:r>
              <w:rPr>
                <w:rFonts w:hint="eastAsia" w:ascii="宋体" w:hAnsi="宋体"/>
                <w:color w:val="000000"/>
                <w:kern w:val="0"/>
                <w:sz w:val="24"/>
                <w:szCs w:val="24"/>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2437" w:type="pct"/>
            <w:gridSpan w:val="3"/>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二、上年结转政府信息公开申请数量</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restart"/>
            <w:noWrap w:val="0"/>
            <w:vAlign w:val="center"/>
          </w:tcPr>
          <w:p>
            <w:pPr>
              <w:keepNext w:val="0"/>
              <w:keepLines w:val="0"/>
              <w:pageBreakBefore w:val="0"/>
              <w:widowControl/>
              <w:kinsoku/>
              <w:wordWrap/>
              <w:overflowPunct/>
              <w:topLinePunct w:val="0"/>
              <w:autoSpaceDE/>
              <w:autoSpaceDN/>
              <w:bidi w:val="0"/>
              <w:adjustRightInd/>
              <w:spacing w:line="540" w:lineRule="exact"/>
              <w:jc w:val="center"/>
              <w:textAlignment w:val="auto"/>
              <w:rPr>
                <w:rFonts w:ascii="Times New Roman" w:hAnsi="Times New Roman" w:eastAsia="Times New Roman"/>
                <w:color w:val="000000"/>
                <w:kern w:val="0"/>
                <w:sz w:val="24"/>
                <w:szCs w:val="24"/>
                <w:highlight w:val="none"/>
              </w:rPr>
            </w:pPr>
            <w:r>
              <w:rPr>
                <w:rFonts w:hint="eastAsia" w:ascii="宋体" w:hAnsi="宋体" w:cs="宋体"/>
                <w:color w:val="000000"/>
                <w:kern w:val="0"/>
                <w:sz w:val="24"/>
                <w:szCs w:val="24"/>
                <w:highlight w:val="none"/>
              </w:rPr>
              <w:t>三、本年度办理结果</w:t>
            </w:r>
          </w:p>
        </w:tc>
        <w:tc>
          <w:tcPr>
            <w:tcW w:w="1777" w:type="pct"/>
            <w:gridSpan w:val="2"/>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textAlignment w:val="auto"/>
              <w:rPr>
                <w:rFonts w:ascii="Times New Roman" w:hAnsi="Times New Roman" w:eastAsia="Times New Roman" w:cs="Times New Roman"/>
                <w:color w:val="000000"/>
                <w:highlight w:val="none"/>
              </w:rPr>
            </w:pPr>
            <w:r>
              <w:rPr>
                <w:rFonts w:hint="eastAsia"/>
                <w:color w:val="000000"/>
                <w:highlight w:val="none"/>
              </w:rPr>
              <w:t>（一）予以公开</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777" w:type="pct"/>
            <w:gridSpan w:val="2"/>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hint="eastAsia"/>
                <w:color w:val="000000"/>
                <w:highlight w:val="none"/>
              </w:rPr>
              <w:t>（二）部分公开（区分处理的，只计这一情形，不计其他情形）</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restar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hint="eastAsia"/>
                <w:color w:val="000000"/>
                <w:highlight w:val="none"/>
              </w:rPr>
              <w:t>（三）不予公开</w:t>
            </w:r>
          </w:p>
        </w:tc>
        <w:tc>
          <w:tcPr>
            <w:tcW w:w="1113"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w:t>
            </w:r>
            <w:r>
              <w:rPr>
                <w:rFonts w:hint="eastAsia"/>
                <w:color w:val="000000"/>
                <w:highlight w:val="none"/>
              </w:rPr>
              <w:t>属于国家秘密</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w:t>
            </w:r>
            <w:r>
              <w:rPr>
                <w:rFonts w:hint="eastAsia"/>
                <w:color w:val="000000"/>
                <w:highlight w:val="none"/>
              </w:rPr>
              <w:t>其他法律行政法规禁止公开</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w:t>
            </w:r>
            <w:r>
              <w:rPr>
                <w:rFonts w:hint="eastAsia"/>
                <w:color w:val="000000"/>
                <w:highlight w:val="none"/>
              </w:rPr>
              <w:t>危及</w:t>
            </w:r>
            <w:r>
              <w:rPr>
                <w:rFonts w:ascii="Times New Roman" w:hAnsi="Times New Roman" w:eastAsia="Times New Roman" w:cs="Times New Roman"/>
                <w:color w:val="000000"/>
                <w:highlight w:val="none"/>
              </w:rPr>
              <w:t>“</w:t>
            </w:r>
            <w:r>
              <w:rPr>
                <w:rFonts w:hint="eastAsia"/>
                <w:color w:val="000000"/>
                <w:highlight w:val="none"/>
              </w:rPr>
              <w:t>三安全一稳定</w:t>
            </w:r>
            <w:r>
              <w:rPr>
                <w:rFonts w:ascii="Times New Roman" w:hAnsi="Times New Roman" w:eastAsia="Times New Roman" w:cs="Times New Roman"/>
                <w:color w:val="000000"/>
                <w:highlight w:val="none"/>
              </w:rPr>
              <w:t>”</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w:t>
            </w:r>
            <w:r>
              <w:rPr>
                <w:rFonts w:hint="eastAsia"/>
                <w:color w:val="000000"/>
                <w:highlight w:val="none"/>
              </w:rPr>
              <w:t>保护第三方合法权益</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5.</w:t>
            </w:r>
            <w:r>
              <w:rPr>
                <w:rFonts w:hint="eastAsia"/>
                <w:color w:val="000000"/>
                <w:highlight w:val="none"/>
              </w:rPr>
              <w:t>属于三类内部事务信息</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keepNext w:val="0"/>
              <w:keepLines w:val="0"/>
              <w:pageBreakBefore w:val="0"/>
              <w:widowControl/>
              <w:kinsoku/>
              <w:wordWrap/>
              <w:overflowPunct/>
              <w:topLinePunct w:val="0"/>
              <w:autoSpaceDE/>
              <w:autoSpaceDN/>
              <w:bidi w:val="0"/>
              <w:adjustRightInd/>
              <w:spacing w:line="540" w:lineRule="exact"/>
              <w:textAlignment w:val="auto"/>
              <w:rPr>
                <w:rFonts w:ascii="Times New Roman" w:hAnsi="Times New Roman" w:eastAsia="Times New Roman"/>
                <w:color w:val="000000"/>
                <w:kern w:val="0"/>
                <w:sz w:val="24"/>
                <w:szCs w:val="24"/>
                <w:highlight w:val="none"/>
              </w:rPr>
            </w:pPr>
            <w:r>
              <w:rPr>
                <w:rFonts w:ascii="Times New Roman" w:hAnsi="Times New Roman" w:eastAsia="Times New Roman"/>
                <w:color w:val="000000"/>
                <w:kern w:val="0"/>
                <w:sz w:val="24"/>
                <w:szCs w:val="24"/>
                <w:highlight w:val="none"/>
              </w:rPr>
              <w:t>6.</w:t>
            </w:r>
            <w:r>
              <w:rPr>
                <w:rFonts w:hint="eastAsia" w:ascii="宋体" w:hAnsi="宋体" w:cs="宋体"/>
                <w:color w:val="000000"/>
                <w:kern w:val="0"/>
                <w:sz w:val="24"/>
                <w:szCs w:val="24"/>
                <w:highlight w:val="none"/>
              </w:rPr>
              <w:t>属于四类过程性信息</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7.</w:t>
            </w:r>
            <w:r>
              <w:rPr>
                <w:rFonts w:hint="eastAsia"/>
                <w:color w:val="000000"/>
                <w:highlight w:val="none"/>
              </w:rPr>
              <w:t>属于行政执法案卷</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w:t>
            </w:r>
            <w:r>
              <w:rPr>
                <w:rFonts w:hint="eastAsia"/>
                <w:color w:val="000000"/>
                <w:highlight w:val="none"/>
              </w:rPr>
              <w:t>属于行政查询事项</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restar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hint="eastAsia"/>
                <w:color w:val="000000"/>
                <w:highlight w:val="none"/>
              </w:rPr>
              <w:t>（四）无法提供</w:t>
            </w:r>
          </w:p>
        </w:tc>
        <w:tc>
          <w:tcPr>
            <w:tcW w:w="1113" w:type="pct"/>
            <w:noWrap w:val="0"/>
            <w:vAlign w:val="center"/>
          </w:tcPr>
          <w:p>
            <w:pPr>
              <w:keepNext w:val="0"/>
              <w:keepLines w:val="0"/>
              <w:pageBreakBefore w:val="0"/>
              <w:widowControl/>
              <w:kinsoku/>
              <w:wordWrap/>
              <w:overflowPunct/>
              <w:topLinePunct w:val="0"/>
              <w:autoSpaceDE/>
              <w:autoSpaceDN/>
              <w:bidi w:val="0"/>
              <w:adjustRightInd/>
              <w:spacing w:line="540" w:lineRule="exact"/>
              <w:textAlignment w:val="auto"/>
              <w:rPr>
                <w:rFonts w:ascii="Times New Roman" w:hAnsi="Times New Roman" w:eastAsia="Times New Roman"/>
                <w:color w:val="000000"/>
                <w:kern w:val="0"/>
                <w:sz w:val="24"/>
                <w:szCs w:val="24"/>
                <w:highlight w:val="none"/>
              </w:rPr>
            </w:pPr>
            <w:r>
              <w:rPr>
                <w:rFonts w:ascii="Times New Roman" w:hAnsi="Times New Roman" w:eastAsia="Times New Roman"/>
                <w:color w:val="000000"/>
                <w:kern w:val="0"/>
                <w:sz w:val="24"/>
                <w:szCs w:val="24"/>
                <w:highlight w:val="none"/>
              </w:rPr>
              <w:t>1.</w:t>
            </w:r>
            <w:r>
              <w:rPr>
                <w:rFonts w:hint="eastAsia" w:ascii="宋体" w:hAnsi="宋体" w:cs="宋体"/>
                <w:color w:val="000000"/>
                <w:kern w:val="0"/>
                <w:sz w:val="24"/>
                <w:szCs w:val="24"/>
                <w:highlight w:val="none"/>
              </w:rPr>
              <w:t>本机关不掌握相关政府信息</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w:t>
            </w:r>
            <w:r>
              <w:rPr>
                <w:rFonts w:hint="eastAsia"/>
                <w:color w:val="000000"/>
                <w:highlight w:val="none"/>
              </w:rPr>
              <w:t>没有现成信息需要另行制作</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w:t>
            </w:r>
            <w:r>
              <w:rPr>
                <w:rFonts w:hint="eastAsia"/>
                <w:color w:val="000000"/>
                <w:highlight w:val="none"/>
              </w:rPr>
              <w:t>补正后申请内容仍不明确</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restar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hint="eastAsia"/>
                <w:color w:val="000000"/>
                <w:highlight w:val="none"/>
              </w:rPr>
              <w:t>（五）不予处理</w:t>
            </w:r>
          </w:p>
        </w:tc>
        <w:tc>
          <w:tcPr>
            <w:tcW w:w="1113" w:type="pct"/>
            <w:noWrap w:val="0"/>
            <w:vAlign w:val="center"/>
          </w:tcPr>
          <w:p>
            <w:pPr>
              <w:keepNext w:val="0"/>
              <w:keepLines w:val="0"/>
              <w:pageBreakBefore w:val="0"/>
              <w:widowControl/>
              <w:kinsoku/>
              <w:wordWrap/>
              <w:overflowPunct/>
              <w:topLinePunct w:val="0"/>
              <w:autoSpaceDE/>
              <w:autoSpaceDN/>
              <w:bidi w:val="0"/>
              <w:adjustRightInd/>
              <w:spacing w:line="540" w:lineRule="exact"/>
              <w:textAlignment w:val="auto"/>
              <w:rPr>
                <w:rFonts w:ascii="Times New Roman" w:hAnsi="Times New Roman" w:eastAsia="Times New Roman"/>
                <w:color w:val="000000"/>
                <w:kern w:val="0"/>
                <w:sz w:val="24"/>
                <w:szCs w:val="24"/>
                <w:highlight w:val="none"/>
              </w:rPr>
            </w:pPr>
            <w:r>
              <w:rPr>
                <w:rFonts w:ascii="Times New Roman" w:hAnsi="Times New Roman" w:eastAsia="Times New Roman"/>
                <w:color w:val="000000"/>
                <w:kern w:val="0"/>
                <w:sz w:val="24"/>
                <w:szCs w:val="24"/>
                <w:highlight w:val="none"/>
              </w:rPr>
              <w:t>1.</w:t>
            </w:r>
            <w:r>
              <w:rPr>
                <w:rFonts w:hint="eastAsia" w:ascii="Times New Roman" w:hAnsi="Times New Roman" w:eastAsia="Times New Roman"/>
                <w:color w:val="000000"/>
                <w:kern w:val="0"/>
                <w:sz w:val="24"/>
                <w:szCs w:val="24"/>
                <w:highlight w:val="none"/>
              </w:rPr>
              <w:t>信访举报投诉类申请</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keepNext w:val="0"/>
              <w:keepLines w:val="0"/>
              <w:pageBreakBefore w:val="0"/>
              <w:widowControl/>
              <w:kinsoku/>
              <w:wordWrap/>
              <w:overflowPunct/>
              <w:topLinePunct w:val="0"/>
              <w:autoSpaceDE/>
              <w:autoSpaceDN/>
              <w:bidi w:val="0"/>
              <w:adjustRightInd/>
              <w:spacing w:line="540" w:lineRule="exact"/>
              <w:textAlignment w:val="auto"/>
              <w:rPr>
                <w:rFonts w:ascii="Times New Roman" w:hAnsi="Times New Roman" w:eastAsia="Times New Roman"/>
                <w:color w:val="000000"/>
                <w:kern w:val="0"/>
                <w:sz w:val="24"/>
                <w:szCs w:val="24"/>
                <w:highlight w:val="none"/>
              </w:rPr>
            </w:pPr>
            <w:r>
              <w:rPr>
                <w:rFonts w:ascii="Times New Roman" w:hAnsi="Times New Roman" w:eastAsia="Times New Roman"/>
                <w:color w:val="000000"/>
                <w:kern w:val="0"/>
                <w:sz w:val="24"/>
                <w:szCs w:val="24"/>
                <w:highlight w:val="none"/>
              </w:rPr>
              <w:t>2.</w:t>
            </w:r>
            <w:r>
              <w:rPr>
                <w:rFonts w:hint="eastAsia" w:ascii="Times New Roman" w:hAnsi="Times New Roman" w:eastAsia="Times New Roman"/>
                <w:color w:val="000000"/>
                <w:kern w:val="0"/>
                <w:sz w:val="24"/>
                <w:szCs w:val="24"/>
                <w:highlight w:val="none"/>
              </w:rPr>
              <w:t>重复申请</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keepNext w:val="0"/>
              <w:keepLines w:val="0"/>
              <w:pageBreakBefore w:val="0"/>
              <w:widowControl/>
              <w:kinsoku/>
              <w:wordWrap/>
              <w:overflowPunct/>
              <w:topLinePunct w:val="0"/>
              <w:autoSpaceDE/>
              <w:autoSpaceDN/>
              <w:bidi w:val="0"/>
              <w:adjustRightInd/>
              <w:spacing w:line="540" w:lineRule="exact"/>
              <w:textAlignment w:val="auto"/>
              <w:rPr>
                <w:rFonts w:ascii="Times New Roman" w:hAnsi="Times New Roman" w:eastAsia="Times New Roman"/>
                <w:color w:val="000000"/>
                <w:kern w:val="0"/>
                <w:sz w:val="24"/>
                <w:szCs w:val="24"/>
                <w:highlight w:val="none"/>
              </w:rPr>
            </w:pPr>
            <w:r>
              <w:rPr>
                <w:rFonts w:ascii="Times New Roman" w:hAnsi="Times New Roman" w:eastAsia="Times New Roman"/>
                <w:color w:val="000000"/>
                <w:kern w:val="0"/>
                <w:sz w:val="24"/>
                <w:szCs w:val="24"/>
                <w:highlight w:val="none"/>
              </w:rPr>
              <w:t>3.</w:t>
            </w:r>
            <w:r>
              <w:rPr>
                <w:rFonts w:hint="eastAsia" w:ascii="Times New Roman" w:hAnsi="Times New Roman" w:eastAsia="Times New Roman"/>
                <w:color w:val="000000"/>
                <w:kern w:val="0"/>
                <w:sz w:val="24"/>
                <w:szCs w:val="24"/>
                <w:highlight w:val="none"/>
              </w:rPr>
              <w:t>要求提供公开出版物</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keepNext w:val="0"/>
              <w:keepLines w:val="0"/>
              <w:pageBreakBefore w:val="0"/>
              <w:widowControl/>
              <w:kinsoku/>
              <w:wordWrap/>
              <w:overflowPunct/>
              <w:topLinePunct w:val="0"/>
              <w:autoSpaceDE/>
              <w:autoSpaceDN/>
              <w:bidi w:val="0"/>
              <w:adjustRightInd/>
              <w:spacing w:line="540" w:lineRule="exact"/>
              <w:textAlignment w:val="auto"/>
              <w:rPr>
                <w:rFonts w:ascii="Times New Roman" w:hAnsi="Times New Roman" w:eastAsia="Times New Roman"/>
                <w:color w:val="000000"/>
                <w:kern w:val="0"/>
                <w:sz w:val="24"/>
                <w:szCs w:val="24"/>
                <w:highlight w:val="none"/>
              </w:rPr>
            </w:pPr>
            <w:r>
              <w:rPr>
                <w:rFonts w:ascii="Times New Roman" w:hAnsi="Times New Roman" w:eastAsia="Times New Roman"/>
                <w:color w:val="000000"/>
                <w:kern w:val="0"/>
                <w:sz w:val="24"/>
                <w:szCs w:val="24"/>
                <w:highlight w:val="none"/>
              </w:rPr>
              <w:t>4.</w:t>
            </w:r>
            <w:r>
              <w:rPr>
                <w:rFonts w:hint="eastAsia" w:ascii="Times New Roman" w:hAnsi="Times New Roman" w:eastAsia="Times New Roman"/>
                <w:color w:val="000000"/>
                <w:kern w:val="0"/>
                <w:sz w:val="24"/>
                <w:szCs w:val="24"/>
                <w:highlight w:val="none"/>
              </w:rPr>
              <w:t>无正当理由大量反复申请</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664"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113" w:type="pct"/>
            <w:noWrap w:val="0"/>
            <w:vAlign w:val="center"/>
          </w:tcPr>
          <w:p>
            <w:pPr>
              <w:keepNext w:val="0"/>
              <w:keepLines w:val="0"/>
              <w:pageBreakBefore w:val="0"/>
              <w:widowControl/>
              <w:kinsoku/>
              <w:wordWrap/>
              <w:overflowPunct/>
              <w:topLinePunct w:val="0"/>
              <w:autoSpaceDE/>
              <w:autoSpaceDN/>
              <w:bidi w:val="0"/>
              <w:adjustRightInd/>
              <w:spacing w:line="540" w:lineRule="exact"/>
              <w:textAlignment w:val="auto"/>
              <w:rPr>
                <w:rFonts w:ascii="Times New Roman" w:hAnsi="Times New Roman" w:eastAsia="Times New Roman"/>
                <w:color w:val="000000"/>
                <w:kern w:val="0"/>
                <w:sz w:val="24"/>
                <w:szCs w:val="24"/>
                <w:highlight w:val="none"/>
              </w:rPr>
            </w:pPr>
            <w:r>
              <w:rPr>
                <w:rFonts w:ascii="Times New Roman" w:hAnsi="Times New Roman" w:eastAsia="Times New Roman"/>
                <w:color w:val="000000"/>
                <w:kern w:val="0"/>
                <w:sz w:val="24"/>
                <w:szCs w:val="24"/>
                <w:highlight w:val="none"/>
              </w:rPr>
              <w:t>5.</w:t>
            </w:r>
            <w:r>
              <w:rPr>
                <w:rFonts w:hint="eastAsia" w:ascii="Times New Roman" w:hAnsi="Times New Roman" w:eastAsia="Times New Roman"/>
                <w:color w:val="000000"/>
                <w:kern w:val="0"/>
                <w:sz w:val="24"/>
                <w:szCs w:val="24"/>
                <w:highlight w:val="none"/>
              </w:rPr>
              <w:t>要求行政机关确认或重新出具已获取信息</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777" w:type="pct"/>
            <w:gridSpan w:val="2"/>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hint="eastAsia"/>
                <w:color w:val="000000"/>
                <w:highlight w:val="none"/>
              </w:rPr>
              <w:t>（六）其他处理</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661" w:type="pct"/>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p>
        </w:tc>
        <w:tc>
          <w:tcPr>
            <w:tcW w:w="1777" w:type="pct"/>
            <w:gridSpan w:val="2"/>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both"/>
              <w:textAlignment w:val="auto"/>
              <w:rPr>
                <w:rFonts w:ascii="Times New Roman" w:hAnsi="Times New Roman" w:eastAsia="Times New Roman" w:cs="Times New Roman"/>
                <w:color w:val="000000"/>
                <w:highlight w:val="none"/>
              </w:rPr>
            </w:pPr>
            <w:r>
              <w:rPr>
                <w:rFonts w:hint="eastAsia"/>
                <w:color w:val="000000"/>
                <w:highlight w:val="none"/>
              </w:rPr>
              <w:t>（七）总计</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2437" w:type="pct"/>
            <w:gridSpan w:val="3"/>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olor w:val="000000"/>
                <w:highlight w:val="none"/>
              </w:rPr>
              <w:t>四、结转下年度继续办理</w:t>
            </w:r>
          </w:p>
        </w:tc>
        <w:tc>
          <w:tcPr>
            <w:tcW w:w="330"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372"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458"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c>
          <w:tcPr>
            <w:tcW w:w="287" w:type="pc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cs="Times New Roman"/>
                <w:color w:val="000000"/>
                <w:highlight w:val="none"/>
              </w:rPr>
              <w:t>0</w:t>
            </w:r>
          </w:p>
        </w:tc>
      </w:tr>
    </w:tbl>
    <w:p>
      <w:pPr>
        <w:pStyle w:val="2"/>
        <w:keepNext w:val="0"/>
        <w:keepLines w:val="0"/>
        <w:pageBreakBefore w:val="0"/>
        <w:numPr>
          <w:ilvl w:val="0"/>
          <w:numId w:val="0"/>
        </w:numPr>
        <w:kinsoku/>
        <w:wordWrap/>
        <w:overflowPunct/>
        <w:topLinePunct w:val="0"/>
        <w:autoSpaceDE/>
        <w:autoSpaceDN/>
        <w:bidi w:val="0"/>
        <w:adjustRightInd/>
        <w:spacing w:line="540" w:lineRule="exact"/>
        <w:textAlignment w:val="auto"/>
        <w:rPr>
          <w:rFonts w:hint="eastAsia"/>
          <w:highlight w:val="none"/>
        </w:rPr>
      </w:pPr>
    </w:p>
    <w:p>
      <w:pPr>
        <w:keepNext w:val="0"/>
        <w:keepLines w:val="0"/>
        <w:pageBreakBefore w:val="0"/>
        <w:widowControl/>
        <w:kinsoku/>
        <w:wordWrap/>
        <w:overflowPunct/>
        <w:topLinePunct w:val="0"/>
        <w:autoSpaceDE/>
        <w:autoSpaceDN/>
        <w:bidi w:val="0"/>
        <w:adjustRightInd/>
        <w:spacing w:line="540" w:lineRule="exact"/>
        <w:ind w:firstLine="643" w:firstLineChars="200"/>
        <w:jc w:val="left"/>
        <w:textAlignment w:val="auto"/>
        <w:rPr>
          <w:rFonts w:hint="eastAsia" w:ascii="黑体" w:hAnsi="Times New Roman" w:eastAsia="黑体" w:cs="Times New Roman"/>
          <w:b/>
          <w:bCs w:val="0"/>
          <w:color w:val="000000"/>
          <w:spacing w:val="0"/>
          <w:sz w:val="32"/>
          <w:szCs w:val="32"/>
          <w:highlight w:val="none"/>
        </w:rPr>
      </w:pPr>
      <w:r>
        <w:rPr>
          <w:rFonts w:hint="eastAsia" w:ascii="黑体" w:hAnsi="Times New Roman" w:eastAsia="黑体" w:cs="Times New Roman"/>
          <w:b/>
          <w:bCs w:val="0"/>
          <w:color w:val="000000"/>
          <w:spacing w:val="0"/>
          <w:sz w:val="32"/>
          <w:szCs w:val="32"/>
          <w:highlight w:val="none"/>
        </w:rPr>
        <w:t>四、政府信息公开行政复议</w:t>
      </w:r>
      <w:r>
        <w:rPr>
          <w:rFonts w:hint="eastAsia" w:ascii="黑体" w:hAnsi="Times New Roman" w:eastAsia="黑体" w:cs="Times New Roman"/>
          <w:b/>
          <w:bCs w:val="0"/>
          <w:color w:val="000000"/>
          <w:spacing w:val="0"/>
          <w:sz w:val="32"/>
          <w:szCs w:val="32"/>
          <w:highlight w:val="none"/>
          <w:lang w:eastAsia="zh-CN"/>
        </w:rPr>
        <w:t>和</w:t>
      </w:r>
      <w:r>
        <w:rPr>
          <w:rFonts w:hint="eastAsia" w:ascii="黑体" w:hAnsi="Times New Roman" w:eastAsia="黑体" w:cs="Times New Roman"/>
          <w:b/>
          <w:bCs w:val="0"/>
          <w:color w:val="000000"/>
          <w:spacing w:val="0"/>
          <w:sz w:val="32"/>
          <w:szCs w:val="32"/>
          <w:highlight w:val="none"/>
        </w:rPr>
        <w:t>行政诉讼情况</w:t>
      </w:r>
    </w:p>
    <w:tbl>
      <w:tblPr>
        <w:tblStyle w:val="4"/>
        <w:tblW w:w="8664"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582"/>
        <w:gridCol w:w="582"/>
        <w:gridCol w:w="582"/>
        <w:gridCol w:w="584"/>
        <w:gridCol w:w="603"/>
        <w:gridCol w:w="603"/>
        <w:gridCol w:w="603"/>
        <w:gridCol w:w="603"/>
        <w:gridCol w:w="603"/>
        <w:gridCol w:w="547"/>
        <w:gridCol w:w="547"/>
        <w:gridCol w:w="547"/>
        <w:gridCol w:w="547"/>
        <w:gridCol w:w="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2912" w:type="dxa"/>
            <w:gridSpan w:val="5"/>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行政复议</w:t>
            </w:r>
          </w:p>
        </w:tc>
        <w:tc>
          <w:tcPr>
            <w:tcW w:w="5752" w:type="dxa"/>
            <w:gridSpan w:val="10"/>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2" w:type="dxa"/>
            <w:vMerge w:val="restar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结果维持</w:t>
            </w:r>
          </w:p>
        </w:tc>
        <w:tc>
          <w:tcPr>
            <w:tcW w:w="582" w:type="dxa"/>
            <w:vMerge w:val="restar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结果纠正</w:t>
            </w:r>
          </w:p>
        </w:tc>
        <w:tc>
          <w:tcPr>
            <w:tcW w:w="582" w:type="dxa"/>
            <w:vMerge w:val="restar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其他结果</w:t>
            </w:r>
          </w:p>
        </w:tc>
        <w:tc>
          <w:tcPr>
            <w:tcW w:w="582" w:type="dxa"/>
            <w:vMerge w:val="restar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尚未审结</w:t>
            </w:r>
          </w:p>
        </w:tc>
        <w:tc>
          <w:tcPr>
            <w:tcW w:w="584" w:type="dxa"/>
            <w:vMerge w:val="restart"/>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总计</w:t>
            </w:r>
          </w:p>
        </w:tc>
        <w:tc>
          <w:tcPr>
            <w:tcW w:w="3015" w:type="dxa"/>
            <w:gridSpan w:val="5"/>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未经复议直接起诉</w:t>
            </w:r>
          </w:p>
        </w:tc>
        <w:tc>
          <w:tcPr>
            <w:tcW w:w="2737" w:type="dxa"/>
            <w:gridSpan w:val="5"/>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582" w:type="dxa"/>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p>
        </w:tc>
        <w:tc>
          <w:tcPr>
            <w:tcW w:w="582" w:type="dxa"/>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p>
        </w:tc>
        <w:tc>
          <w:tcPr>
            <w:tcW w:w="582" w:type="dxa"/>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p>
        </w:tc>
        <w:tc>
          <w:tcPr>
            <w:tcW w:w="582" w:type="dxa"/>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p>
        </w:tc>
        <w:tc>
          <w:tcPr>
            <w:tcW w:w="584" w:type="dxa"/>
            <w:vMerge w:val="continue"/>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p>
        </w:tc>
        <w:tc>
          <w:tcPr>
            <w:tcW w:w="60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结果维持</w:t>
            </w:r>
          </w:p>
        </w:tc>
        <w:tc>
          <w:tcPr>
            <w:tcW w:w="60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结果纠正</w:t>
            </w:r>
          </w:p>
        </w:tc>
        <w:tc>
          <w:tcPr>
            <w:tcW w:w="60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其他结果</w:t>
            </w:r>
          </w:p>
        </w:tc>
        <w:tc>
          <w:tcPr>
            <w:tcW w:w="60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尚未审结</w:t>
            </w:r>
          </w:p>
        </w:tc>
        <w:tc>
          <w:tcPr>
            <w:tcW w:w="60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总计</w:t>
            </w:r>
          </w:p>
        </w:tc>
        <w:tc>
          <w:tcPr>
            <w:tcW w:w="5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结果维持</w:t>
            </w:r>
          </w:p>
        </w:tc>
        <w:tc>
          <w:tcPr>
            <w:tcW w:w="5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结果纠正</w:t>
            </w:r>
          </w:p>
        </w:tc>
        <w:tc>
          <w:tcPr>
            <w:tcW w:w="5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其他结果</w:t>
            </w:r>
          </w:p>
        </w:tc>
        <w:tc>
          <w:tcPr>
            <w:tcW w:w="5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尚未审结</w:t>
            </w:r>
          </w:p>
        </w:tc>
        <w:tc>
          <w:tcPr>
            <w:tcW w:w="54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方正黑体简体" w:cs="Times New Roman"/>
                <w:b/>
                <w:bCs/>
                <w:color w:val="000000"/>
                <w:highlight w:val="none"/>
              </w:rPr>
            </w:pPr>
            <w:r>
              <w:rPr>
                <w:rFonts w:hint="eastAsia"/>
                <w:color w:val="000000"/>
                <w:highlight w:val="none"/>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2"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582"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582"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582"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584"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60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60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60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60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603"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5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5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5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547"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c>
          <w:tcPr>
            <w:tcW w:w="549" w:type="dxa"/>
            <w:noWrap w:val="0"/>
            <w:vAlign w:val="center"/>
          </w:tcPr>
          <w:p>
            <w:pPr>
              <w:pStyle w:val="3"/>
              <w:keepNext w:val="0"/>
              <w:keepLines w:val="0"/>
              <w:pageBreakBefore w:val="0"/>
              <w:kinsoku/>
              <w:wordWrap/>
              <w:overflowPunct/>
              <w:topLinePunct w:val="0"/>
              <w:autoSpaceDE/>
              <w:autoSpaceDN/>
              <w:bidi w:val="0"/>
              <w:adjustRightInd/>
              <w:spacing w:before="0" w:beforeAutospacing="0" w:after="0" w:afterAutospacing="0" w:line="540" w:lineRule="exact"/>
              <w:jc w:val="center"/>
              <w:textAlignment w:val="auto"/>
              <w:rPr>
                <w:rFonts w:ascii="Times New Roman" w:hAnsi="Times New Roman" w:eastAsia="Times New Roman" w:cs="Times New Roman"/>
                <w:color w:val="000000"/>
                <w:highlight w:val="none"/>
              </w:rPr>
            </w:pPr>
            <w:r>
              <w:rPr>
                <w:rFonts w:hint="eastAsia" w:ascii="Times New Roman" w:hAnsi="Times New Roman" w:eastAsia="Times New Roman" w:cs="Times New Roman"/>
                <w:color w:val="000000"/>
                <w:highlight w:val="none"/>
              </w:rPr>
              <w:t>0</w:t>
            </w:r>
          </w:p>
        </w:tc>
      </w:tr>
    </w:tbl>
    <w:p>
      <w:pPr>
        <w:pStyle w:val="2"/>
        <w:keepNext w:val="0"/>
        <w:keepLines w:val="0"/>
        <w:pageBreakBefore w:val="0"/>
        <w:kinsoku/>
        <w:wordWrap/>
        <w:overflowPunct/>
        <w:topLinePunct w:val="0"/>
        <w:autoSpaceDE/>
        <w:autoSpaceDN/>
        <w:bidi w:val="0"/>
        <w:adjustRightInd/>
        <w:spacing w:line="540" w:lineRule="exact"/>
        <w:textAlignment w:val="auto"/>
        <w:rPr>
          <w:highlight w:val="none"/>
        </w:rPr>
      </w:pPr>
    </w:p>
    <w:p>
      <w:pPr>
        <w:pStyle w:val="3"/>
        <w:keepNext w:val="0"/>
        <w:keepLines w:val="0"/>
        <w:pageBreakBefore w:val="0"/>
        <w:kinsoku/>
        <w:wordWrap/>
        <w:overflowPunct/>
        <w:topLinePunct w:val="0"/>
        <w:autoSpaceDE/>
        <w:autoSpaceDN/>
        <w:bidi w:val="0"/>
        <w:adjustRightInd/>
        <w:spacing w:before="0" w:beforeAutospacing="0" w:after="0" w:afterAutospacing="0" w:line="540" w:lineRule="exact"/>
        <w:ind w:firstLine="643" w:firstLineChars="200"/>
        <w:jc w:val="both"/>
        <w:textAlignment w:val="auto"/>
        <w:rPr>
          <w:rFonts w:ascii="黑体" w:hAnsi="Times New Roman" w:eastAsia="黑体" w:cs="Times New Roman"/>
          <w:b/>
          <w:bCs w:val="0"/>
          <w:color w:val="000000"/>
          <w:spacing w:val="0"/>
          <w:sz w:val="32"/>
          <w:szCs w:val="32"/>
          <w:highlight w:val="none"/>
        </w:rPr>
      </w:pPr>
      <w:r>
        <w:rPr>
          <w:rFonts w:hint="eastAsia" w:ascii="黑体" w:hAnsi="Times New Roman" w:eastAsia="黑体" w:cs="Times New Roman"/>
          <w:b/>
          <w:bCs w:val="0"/>
          <w:color w:val="000000"/>
          <w:spacing w:val="0"/>
          <w:sz w:val="32"/>
          <w:szCs w:val="32"/>
          <w:highlight w:val="none"/>
        </w:rPr>
        <w:t>五、存在的主要问题及改进情况</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_GB2312"/>
          <w:color w:val="000000"/>
          <w:spacing w:val="0"/>
          <w:kern w:val="0"/>
          <w:sz w:val="32"/>
          <w:szCs w:val="32"/>
          <w:highlight w:val="none"/>
          <w:lang w:val="en-US" w:eastAsia="zh-CN"/>
        </w:rPr>
      </w:pPr>
      <w:r>
        <w:rPr>
          <w:rFonts w:hint="eastAsia" w:ascii="Times New Roman" w:hAnsi="Times New Roman" w:eastAsia="仿宋_GB2312"/>
          <w:color w:val="000000"/>
          <w:spacing w:val="0"/>
          <w:kern w:val="0"/>
          <w:sz w:val="32"/>
          <w:szCs w:val="32"/>
          <w:highlight w:val="none"/>
          <w:lang w:val="en-US" w:eastAsia="zh-CN"/>
        </w:rPr>
        <w:t>2023年，我局在政务信息公开上取得了一定的成效，但对标群众期待、上级要求还有一定差距，比如业务经办人员对公开属性的把握不够准确，人员队伍力量稍显薄弱；与群众的互动交流方式比较单一等。</w:t>
      </w:r>
    </w:p>
    <w:p>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Times New Roman" w:hAnsi="Times New Roman" w:eastAsia="仿宋_GB2312"/>
          <w:color w:val="000000"/>
          <w:spacing w:val="0"/>
          <w:kern w:val="0"/>
          <w:sz w:val="32"/>
          <w:szCs w:val="32"/>
          <w:highlight w:val="none"/>
          <w:lang w:val="en-US" w:eastAsia="zh-CN"/>
        </w:rPr>
      </w:pPr>
      <w:r>
        <w:rPr>
          <w:rFonts w:hint="eastAsia" w:ascii="Times New Roman" w:hAnsi="Times New Roman" w:eastAsia="仿宋_GB2312"/>
          <w:color w:val="000000"/>
          <w:spacing w:val="0"/>
          <w:kern w:val="0"/>
          <w:sz w:val="32"/>
          <w:szCs w:val="32"/>
          <w:highlight w:val="none"/>
          <w:lang w:val="en-US" w:eastAsia="zh-CN"/>
        </w:rPr>
        <w:t>针对上述存在的问题，我局将采取以下措施进行改进：一是通过邀请专家、专题学习等方式，持续加大对《条例》《办法》的学习，提高业务经办人员的政策把握能力。二是深化“服务保障基层推动工作落实制度”，局领导、业务骨干下基层、走村入户进行政策宣讲及解读，“面对面”解答群众提出的问题，让民政惠民政策直达群众。</w:t>
      </w:r>
    </w:p>
    <w:p>
      <w:pPr>
        <w:pStyle w:val="3"/>
        <w:keepNext w:val="0"/>
        <w:keepLines w:val="0"/>
        <w:pageBreakBefore w:val="0"/>
        <w:kinsoku/>
        <w:wordWrap/>
        <w:overflowPunct/>
        <w:topLinePunct w:val="0"/>
        <w:autoSpaceDE/>
        <w:autoSpaceDN/>
        <w:bidi w:val="0"/>
        <w:adjustRightInd/>
        <w:spacing w:before="0" w:beforeAutospacing="0" w:after="0" w:afterAutospacing="0" w:line="540" w:lineRule="exact"/>
        <w:ind w:firstLine="643" w:firstLineChars="200"/>
        <w:jc w:val="both"/>
        <w:textAlignment w:val="auto"/>
        <w:rPr>
          <w:rFonts w:hint="eastAsia" w:ascii="黑体" w:hAnsi="Times New Roman" w:eastAsia="黑体" w:cs="Times New Roman"/>
          <w:bCs/>
          <w:color w:val="000000"/>
          <w:spacing w:val="0"/>
          <w:sz w:val="32"/>
          <w:szCs w:val="32"/>
          <w:highlight w:val="none"/>
        </w:rPr>
      </w:pPr>
      <w:bookmarkStart w:id="0" w:name="_GoBack"/>
      <w:r>
        <w:rPr>
          <w:rFonts w:hint="eastAsia" w:ascii="黑体" w:hAnsi="Times New Roman" w:eastAsia="黑体" w:cs="Times New Roman"/>
          <w:b/>
          <w:bCs w:val="0"/>
          <w:color w:val="000000"/>
          <w:spacing w:val="0"/>
          <w:sz w:val="32"/>
          <w:szCs w:val="32"/>
          <w:highlight w:val="none"/>
        </w:rPr>
        <w:t>六、其他需要报告的事项</w:t>
      </w:r>
      <w:bookmarkEnd w:id="0"/>
      <w:r>
        <w:rPr>
          <w:rFonts w:hint="eastAsia" w:ascii="黑体" w:hAnsi="Times New Roman" w:eastAsia="黑体" w:cs="Times New Roman"/>
          <w:bCs/>
          <w:color w:val="000000"/>
          <w:spacing w:val="0"/>
          <w:sz w:val="32"/>
          <w:szCs w:val="32"/>
          <w:highlight w:val="none"/>
        </w:rPr>
        <w:t xml:space="preserve"> </w:t>
      </w:r>
    </w:p>
    <w:p>
      <w:pPr>
        <w:pStyle w:val="3"/>
        <w:keepNext w:val="0"/>
        <w:keepLines w:val="0"/>
        <w:pageBreakBefore w:val="0"/>
        <w:kinsoku/>
        <w:wordWrap/>
        <w:overflowPunct/>
        <w:topLinePunct w:val="0"/>
        <w:autoSpaceDE/>
        <w:autoSpaceDN/>
        <w:bidi w:val="0"/>
        <w:adjustRightInd/>
        <w:spacing w:before="0" w:beforeAutospacing="0" w:after="0" w:afterAutospacing="0" w:line="540" w:lineRule="exact"/>
        <w:ind w:firstLine="640" w:firstLineChars="200"/>
        <w:jc w:val="both"/>
        <w:textAlignment w:val="auto"/>
        <w:rPr>
          <w:rFonts w:ascii="Times New Roman" w:hAnsi="Times New Roman" w:eastAsia="仿宋_GB2312"/>
          <w:color w:val="000000"/>
          <w:spacing w:val="0"/>
          <w:sz w:val="32"/>
          <w:szCs w:val="32"/>
          <w:highlight w:val="none"/>
        </w:rPr>
      </w:pPr>
      <w:r>
        <w:rPr>
          <w:rFonts w:hint="eastAsia" w:ascii="Times New Roman" w:hAnsi="Times New Roman" w:eastAsia="仿宋_GB2312"/>
          <w:color w:val="000000"/>
          <w:spacing w:val="0"/>
          <w:sz w:val="32"/>
          <w:szCs w:val="32"/>
          <w:highlight w:val="none"/>
          <w:lang w:val="en-US" w:eastAsia="zh-CN"/>
        </w:rPr>
        <w:t>无其他需要报告的事项</w:t>
      </w:r>
      <w:r>
        <w:rPr>
          <w:rFonts w:ascii="Times New Roman" w:hAnsi="Times New Roman" w:eastAsia="仿宋_GB2312"/>
          <w:color w:val="000000"/>
          <w:spacing w:val="0"/>
          <w:sz w:val="32"/>
          <w:szCs w:val="32"/>
          <w:highlight w:val="none"/>
        </w:rPr>
        <w:t>。</w:t>
      </w:r>
    </w:p>
    <w:p>
      <w:pPr>
        <w:pStyle w:val="3"/>
        <w:keepNext w:val="0"/>
        <w:keepLines w:val="0"/>
        <w:pageBreakBefore w:val="0"/>
        <w:kinsoku/>
        <w:wordWrap/>
        <w:overflowPunct/>
        <w:topLinePunct w:val="0"/>
        <w:autoSpaceDE/>
        <w:autoSpaceDN/>
        <w:bidi w:val="0"/>
        <w:adjustRightInd/>
        <w:spacing w:before="0" w:beforeAutospacing="0" w:after="0" w:afterAutospacing="0" w:line="540" w:lineRule="exact"/>
        <w:ind w:firstLine="640" w:firstLineChars="200"/>
        <w:jc w:val="both"/>
        <w:textAlignment w:val="auto"/>
        <w:rPr>
          <w:rFonts w:ascii="Times New Roman" w:hAnsi="Times New Roman" w:eastAsia="仿宋_GB2312"/>
          <w:color w:val="000000"/>
          <w:spacing w:val="0"/>
          <w:sz w:val="32"/>
          <w:szCs w:val="32"/>
          <w:highlight w:val="none"/>
        </w:rPr>
      </w:pPr>
    </w:p>
    <w:p>
      <w:pPr>
        <w:pStyle w:val="3"/>
        <w:keepNext w:val="0"/>
        <w:keepLines w:val="0"/>
        <w:pageBreakBefore w:val="0"/>
        <w:kinsoku/>
        <w:wordWrap/>
        <w:overflowPunct/>
        <w:topLinePunct w:val="0"/>
        <w:autoSpaceDE/>
        <w:autoSpaceDN/>
        <w:bidi w:val="0"/>
        <w:adjustRightInd/>
        <w:spacing w:before="0" w:beforeAutospacing="0" w:after="0" w:afterAutospacing="0" w:line="540" w:lineRule="exact"/>
        <w:ind w:firstLine="640" w:firstLineChars="200"/>
        <w:jc w:val="right"/>
        <w:textAlignment w:val="auto"/>
        <w:rPr>
          <w:rFonts w:ascii="Times New Roman" w:hAnsi="Times New Roman" w:eastAsia="仿宋_GB2312"/>
          <w:color w:val="000000"/>
          <w:spacing w:val="0"/>
          <w:sz w:val="32"/>
          <w:szCs w:val="32"/>
          <w:highlight w:val="none"/>
        </w:rPr>
      </w:pPr>
    </w:p>
    <w:p>
      <w:pPr>
        <w:pStyle w:val="3"/>
        <w:keepNext w:val="0"/>
        <w:keepLines w:val="0"/>
        <w:pageBreakBefore w:val="0"/>
        <w:kinsoku/>
        <w:wordWrap/>
        <w:overflowPunct/>
        <w:topLinePunct w:val="0"/>
        <w:autoSpaceDE/>
        <w:autoSpaceDN/>
        <w:bidi w:val="0"/>
        <w:adjustRightInd/>
        <w:spacing w:before="0" w:beforeAutospacing="0" w:after="0" w:afterAutospacing="0" w:line="540" w:lineRule="exact"/>
        <w:ind w:firstLine="640" w:firstLineChars="200"/>
        <w:jc w:val="center"/>
        <w:textAlignment w:val="auto"/>
        <w:rPr>
          <w:rFonts w:ascii="Times New Roman" w:hAnsi="Times New Roman" w:eastAsia="仿宋_GB2312"/>
          <w:color w:val="000000"/>
          <w:spacing w:val="0"/>
          <w:sz w:val="32"/>
          <w:szCs w:val="32"/>
          <w:highlight w:val="none"/>
        </w:rPr>
      </w:pPr>
      <w:r>
        <w:rPr>
          <w:rFonts w:hint="eastAsia" w:ascii="Times New Roman" w:hAnsi="Times New Roman" w:eastAsia="仿宋_GB2312"/>
          <w:color w:val="000000"/>
          <w:spacing w:val="0"/>
          <w:sz w:val="32"/>
          <w:szCs w:val="32"/>
          <w:highlight w:val="none"/>
          <w:lang w:val="en-US" w:eastAsia="zh-CN"/>
        </w:rPr>
        <w:t xml:space="preserve">                                  </w:t>
      </w:r>
      <w:r>
        <w:rPr>
          <w:rFonts w:hint="eastAsia" w:ascii="Times New Roman" w:hAnsi="Times New Roman" w:eastAsia="仿宋_GB2312"/>
          <w:color w:val="000000"/>
          <w:spacing w:val="0"/>
          <w:sz w:val="32"/>
          <w:szCs w:val="32"/>
          <w:highlight w:val="none"/>
        </w:rPr>
        <w:t>晋江市民政局</w:t>
      </w:r>
    </w:p>
    <w:p>
      <w:pPr>
        <w:pStyle w:val="3"/>
        <w:keepNext w:val="0"/>
        <w:keepLines w:val="0"/>
        <w:pageBreakBefore w:val="0"/>
        <w:kinsoku/>
        <w:wordWrap/>
        <w:overflowPunct/>
        <w:topLinePunct w:val="0"/>
        <w:autoSpaceDE/>
        <w:autoSpaceDN/>
        <w:bidi w:val="0"/>
        <w:adjustRightInd/>
        <w:spacing w:before="0" w:beforeAutospacing="0" w:after="0" w:afterAutospacing="0" w:line="540" w:lineRule="exact"/>
        <w:ind w:firstLine="640" w:firstLineChars="200"/>
        <w:jc w:val="right"/>
        <w:textAlignment w:val="auto"/>
        <w:rPr>
          <w:rFonts w:ascii="Times New Roman" w:hAnsi="Times New Roman" w:eastAsia="Times New Roman" w:cs="Times New Roman"/>
          <w:color w:val="000000"/>
          <w:spacing w:val="0"/>
          <w:highlight w:val="none"/>
        </w:rPr>
      </w:pPr>
      <w:r>
        <w:rPr>
          <w:rFonts w:hint="eastAsia" w:ascii="Times New Roman" w:hAnsi="Times New Roman" w:eastAsia="仿宋_GB2312"/>
          <w:color w:val="000000"/>
          <w:spacing w:val="0"/>
          <w:sz w:val="32"/>
          <w:szCs w:val="32"/>
          <w:highlight w:val="none"/>
        </w:rPr>
        <w:t>202</w:t>
      </w:r>
      <w:r>
        <w:rPr>
          <w:rFonts w:hint="eastAsia" w:ascii="Times New Roman" w:hAnsi="Times New Roman" w:eastAsia="仿宋_GB2312"/>
          <w:color w:val="000000"/>
          <w:spacing w:val="0"/>
          <w:sz w:val="32"/>
          <w:szCs w:val="32"/>
          <w:highlight w:val="none"/>
          <w:lang w:val="en-US" w:eastAsia="zh-CN"/>
        </w:rPr>
        <w:t>4</w:t>
      </w:r>
      <w:r>
        <w:rPr>
          <w:rFonts w:hint="eastAsia" w:ascii="Times New Roman" w:hAnsi="Times New Roman" w:eastAsia="仿宋_GB2312"/>
          <w:color w:val="000000"/>
          <w:spacing w:val="0"/>
          <w:sz w:val="32"/>
          <w:szCs w:val="32"/>
          <w:highlight w:val="none"/>
        </w:rPr>
        <w:t>年1月</w:t>
      </w:r>
      <w:r>
        <w:rPr>
          <w:rFonts w:hint="eastAsia" w:ascii="Times New Roman" w:hAnsi="Times New Roman" w:eastAsia="仿宋_GB2312"/>
          <w:color w:val="000000"/>
          <w:spacing w:val="0"/>
          <w:sz w:val="32"/>
          <w:szCs w:val="32"/>
          <w:highlight w:val="none"/>
          <w:lang w:val="en-US" w:eastAsia="zh-CN"/>
        </w:rPr>
        <w:t xml:space="preserve">24 </w:t>
      </w:r>
      <w:r>
        <w:rPr>
          <w:rFonts w:hint="eastAsia" w:ascii="Times New Roman" w:hAnsi="Times New Roman" w:eastAsia="仿宋_GB2312"/>
          <w:color w:val="000000"/>
          <w:spacing w:val="0"/>
          <w:sz w:val="32"/>
          <w:szCs w:val="32"/>
          <w:highlight w:val="none"/>
        </w:rPr>
        <w:t>日</w:t>
      </w:r>
    </w:p>
    <w:p>
      <w:pPr>
        <w:keepNext w:val="0"/>
        <w:keepLines w:val="0"/>
        <w:pageBreakBefore w:val="0"/>
        <w:widowControl/>
        <w:kinsoku/>
        <w:wordWrap/>
        <w:overflowPunct/>
        <w:topLinePunct w:val="0"/>
        <w:autoSpaceDE/>
        <w:autoSpaceDN/>
        <w:bidi w:val="0"/>
        <w:adjustRightInd/>
        <w:spacing w:line="540" w:lineRule="exact"/>
        <w:jc w:val="left"/>
        <w:textAlignment w:val="auto"/>
        <w:rPr>
          <w:rFonts w:hint="default" w:ascii="Times New Roman" w:hAnsi="Times New Roman" w:eastAsia="仿宋_GB2312"/>
          <w:color w:val="000000"/>
          <w:spacing w:val="0"/>
          <w:kern w:val="0"/>
          <w:sz w:val="32"/>
          <w:szCs w:val="32"/>
          <w:highlight w:val="none"/>
          <w:lang w:val="en-US" w:eastAsia="zh-CN"/>
        </w:rPr>
      </w:pPr>
    </w:p>
    <w:sectPr>
      <w:pgSz w:w="11906" w:h="16838"/>
      <w:pgMar w:top="2211" w:right="1474" w:bottom="198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8B2E98-38E6-4CC2-864F-F23AA94F21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CA17939-317B-4F8A-AA66-C148ED1ACEDA}"/>
  </w:font>
  <w:font w:name="方正公文小标宋">
    <w:panose1 w:val="02000500000000000000"/>
    <w:charset w:val="86"/>
    <w:family w:val="auto"/>
    <w:pitch w:val="default"/>
    <w:sig w:usb0="A00002BF" w:usb1="38CF7CFA" w:usb2="00000016" w:usb3="00000000" w:csb0="00040001" w:csb1="00000000"/>
    <w:embedRegular r:id="rId3" w:fontKey="{266084E1-0921-444C-BB02-B8AEE81237BF}"/>
  </w:font>
  <w:font w:name="楷体">
    <w:panose1 w:val="02010609060101010101"/>
    <w:charset w:val="86"/>
    <w:family w:val="auto"/>
    <w:pitch w:val="default"/>
    <w:sig w:usb0="800002BF" w:usb1="38CF7CFA" w:usb2="00000016" w:usb3="00000000" w:csb0="00040001" w:csb1="00000000"/>
    <w:embedRegular r:id="rId4" w:fontKey="{ED90634B-8132-4310-94FF-F64075030C42}"/>
  </w:font>
  <w:font w:name="方正黑体简体">
    <w:panose1 w:val="02000000000000000000"/>
    <w:charset w:val="86"/>
    <w:family w:val="script"/>
    <w:pitch w:val="default"/>
    <w:sig w:usb0="A00002BF" w:usb1="184F6CFA" w:usb2="00000012" w:usb3="00000000" w:csb0="00040001" w:csb1="00000000"/>
    <w:embedRegular r:id="rId5" w:fontKey="{E2157B4F-9B07-4AF4-9CCD-EE07CB09E7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MjUwNTA2ZTkzOTIwYjNiZWYyNzI2OWEwYjQ4ZjIifQ=="/>
  </w:docVars>
  <w:rsids>
    <w:rsidRoot w:val="6EDA0795"/>
    <w:rsid w:val="07DF5ED5"/>
    <w:rsid w:val="0BAD28E2"/>
    <w:rsid w:val="0F223219"/>
    <w:rsid w:val="1A00259A"/>
    <w:rsid w:val="21DA7CE4"/>
    <w:rsid w:val="231450D2"/>
    <w:rsid w:val="27301D6E"/>
    <w:rsid w:val="28244585"/>
    <w:rsid w:val="297140AB"/>
    <w:rsid w:val="3B023801"/>
    <w:rsid w:val="3C973D25"/>
    <w:rsid w:val="3CC809C2"/>
    <w:rsid w:val="3FF37BBC"/>
    <w:rsid w:val="44106B7C"/>
    <w:rsid w:val="48B6181F"/>
    <w:rsid w:val="4D4229B8"/>
    <w:rsid w:val="51050C74"/>
    <w:rsid w:val="538F59F6"/>
    <w:rsid w:val="5A136DC4"/>
    <w:rsid w:val="62854B94"/>
    <w:rsid w:val="67743AFA"/>
    <w:rsid w:val="6EDA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note text"/>
    <w:basedOn w:val="1"/>
    <w:autoRedefine/>
    <w:unhideWhenUsed/>
    <w:qFormat/>
    <w:uiPriority w:val="99"/>
    <w:pPr>
      <w:snapToGrid w:val="0"/>
      <w:jc w:val="left"/>
    </w:pPr>
    <w:rPr>
      <w:rFonts w:ascii="Times New Roman" w:hAnsi="Times New Roman" w:eastAsia="仿宋_GB2312" w:cs="Times New Roman"/>
      <w:sz w:val="18"/>
      <w:szCs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autoRedefine/>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2024-01-16T02:46:00Z</dcterms:created>
  <dc:creator>Kazunari</dc:creator>
  <cp:lastModifiedBy>mz</cp:lastModifiedBy>
  <dcterms:modified xsi:type="dcterms:W3CDTF">2024-01-30T02:07:32Z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46CA292E05354B679855F7452CCF9665_13</vt:lpwstr>
  </property>
</Properties>
</file>