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1C3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附件6</w:t>
      </w:r>
    </w:p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2026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A5F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王昆明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柯宝宝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翁温扻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何养胜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B77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F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8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F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F5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F59B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D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F0D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5B9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A1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EB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E2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F94BE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576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C9B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F3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2C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90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14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B26FA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E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DE7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8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8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丁固花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E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E9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CC489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91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8C5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F64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F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吴乐婷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BB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DD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D2BFB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0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6C60B387"/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16B0241"/>
    <w:rsid w:val="05E945D5"/>
    <w:rsid w:val="0E3F27E1"/>
    <w:rsid w:val="16344FD1"/>
    <w:rsid w:val="173C1D27"/>
    <w:rsid w:val="17B63C77"/>
    <w:rsid w:val="1F7613F5"/>
    <w:rsid w:val="238006EC"/>
    <w:rsid w:val="242A2287"/>
    <w:rsid w:val="2A30482E"/>
    <w:rsid w:val="2E4C2171"/>
    <w:rsid w:val="323B2B5E"/>
    <w:rsid w:val="35964678"/>
    <w:rsid w:val="36E61664"/>
    <w:rsid w:val="3DD57325"/>
    <w:rsid w:val="424C2FD5"/>
    <w:rsid w:val="4F297AD0"/>
    <w:rsid w:val="50A17045"/>
    <w:rsid w:val="50C55FB5"/>
    <w:rsid w:val="51CC3D7E"/>
    <w:rsid w:val="55941235"/>
    <w:rsid w:val="62164BD9"/>
    <w:rsid w:val="6ABD0652"/>
    <w:rsid w:val="7B4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3320</Words>
  <Characters>4474</Characters>
  <Lines>0</Lines>
  <Paragraphs>0</Paragraphs>
  <TotalTime>2</TotalTime>
  <ScaleCrop>false</ScaleCrop>
  <LinksUpToDate>false</LinksUpToDate>
  <CharactersWithSpaces>4480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Bean</cp:lastModifiedBy>
  <dcterms:modified xsi:type="dcterms:W3CDTF">2026-02-27T01:54:43Z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869B3DAC22A54569A0BCBCCDECDC7CBA_13</vt:lpwstr>
  </property>
  <property fmtid="{D5CDD505-2E9C-101B-9397-08002B2CF9AE}" pid="4" name="KSOTemplateDocerSaveRecord">
    <vt:lpwstr>eyJoZGlkIjoiZjQ5MDZjMjc3NmJkYzY4ZDZhZmU3NmY2Y2I1OGQxMjMiLCJ1c2VySWQiOiI0MTA4NzQ5MTQifQ==</vt:lpwstr>
  </property>
</Properties>
</file>