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2026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1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121</w:t>
            </w: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A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王昆明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翁温扻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何养胜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B77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F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8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丁固花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F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F5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F59B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D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</w:tbl>
    <w:p w14:paraId="1ECBADD5"/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16B0241"/>
    <w:rsid w:val="02ED43F9"/>
    <w:rsid w:val="05E945D5"/>
    <w:rsid w:val="0E3F27E1"/>
    <w:rsid w:val="16344FD1"/>
    <w:rsid w:val="173C1D27"/>
    <w:rsid w:val="17B63C77"/>
    <w:rsid w:val="1F7613F5"/>
    <w:rsid w:val="238006EC"/>
    <w:rsid w:val="242A2287"/>
    <w:rsid w:val="2A30482E"/>
    <w:rsid w:val="2E4C2171"/>
    <w:rsid w:val="323B2B5E"/>
    <w:rsid w:val="35964678"/>
    <w:rsid w:val="36E61664"/>
    <w:rsid w:val="3DD57325"/>
    <w:rsid w:val="424C2FD5"/>
    <w:rsid w:val="4F297AD0"/>
    <w:rsid w:val="50C55FB5"/>
    <w:rsid w:val="51CC3D7E"/>
    <w:rsid w:val="55941235"/>
    <w:rsid w:val="62164BD9"/>
    <w:rsid w:val="6ABD0652"/>
    <w:rsid w:val="7B4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2790</Words>
  <Characters>3734</Characters>
  <Lines>0</Lines>
  <Paragraphs>0</Paragraphs>
  <TotalTime>2</TotalTime>
  <ScaleCrop>false</ScaleCrop>
  <LinksUpToDate>false</LinksUpToDate>
  <CharactersWithSpaces>3740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闲云</cp:lastModifiedBy>
  <dcterms:modified xsi:type="dcterms:W3CDTF">2026-01-28T08:55:49Z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A36D2441A32741788A44FD4CF0B75AA6_13</vt:lpwstr>
  </property>
  <property fmtid="{D5CDD505-2E9C-101B-9397-08002B2CF9AE}" pid="4" name="KSOTemplateDocerSaveRecord">
    <vt:lpwstr>eyJoZGlkIjoiMmRkMWY4ZDU4YjNjOGE5MjM2YjBiNmQ3OGUyNjU4MzkiLCJ1c2VySWQiOiI1NjcyMzk2NzcifQ==</vt:lpwstr>
  </property>
</Properties>
</file>