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tabs>
          <w:tab w:val="left" w:pos="0"/>
        </w:tabs>
        <w:kinsoku/>
        <w:wordWrap/>
        <w:overflowPunct/>
        <w:topLinePunct w:val="0"/>
        <w:autoSpaceDE/>
        <w:autoSpaceDN/>
        <w:bidi w:val="0"/>
        <w:adjustRightInd w:val="0"/>
        <w:snapToGrid w:val="0"/>
        <w:spacing w:before="1093" w:beforeLines="350" w:after="0" w:line="240" w:lineRule="auto"/>
        <w:jc w:val="center"/>
        <w:textAlignment w:val="baseline"/>
        <w:rPr>
          <w:rFonts w:hint="eastAsia" w:ascii="宋体" w:hAnsi="宋体" w:eastAsia="宋体" w:cs="宋体"/>
          <w:b w:val="0"/>
          <w:bCs w:val="0"/>
          <w:color w:val="auto"/>
          <w:sz w:val="40"/>
          <w:szCs w:val="40"/>
          <w:highlight w:val="none"/>
          <w:lang w:eastAsia="zh-CN"/>
        </w:rPr>
      </w:pPr>
      <w:bookmarkStart w:id="0" w:name="_Toc49663091"/>
      <w:bookmarkStart w:id="1" w:name="_Toc525120820"/>
      <w:bookmarkStart w:id="2" w:name="_Toc63471351"/>
      <w:bookmarkStart w:id="3" w:name="_Toc13309363"/>
      <w:bookmarkStart w:id="4" w:name="_Toc300038915"/>
      <w:r>
        <w:rPr>
          <w:rFonts w:hint="eastAsia" w:ascii="宋体" w:hAnsi="宋体" w:eastAsia="宋体" w:cs="宋体"/>
          <w:b w:val="0"/>
          <w:bCs w:val="0"/>
          <w:color w:val="auto"/>
          <w:sz w:val="40"/>
          <w:szCs w:val="40"/>
          <w:highlight w:val="none"/>
        </w:rPr>
        <w:t>招标公告</w:t>
      </w:r>
      <w:bookmarkEnd w:id="0"/>
      <w:bookmarkEnd w:id="1"/>
      <w:bookmarkEnd w:id="2"/>
      <w:bookmarkEnd w:id="3"/>
      <w:bookmarkEnd w:id="4"/>
    </w:p>
    <w:p>
      <w:pPr>
        <w:keepNext w:val="0"/>
        <w:keepLines w:val="0"/>
        <w:pageBreakBefore w:val="0"/>
        <w:kinsoku/>
        <w:wordWrap/>
        <w:overflowPunct/>
        <w:topLinePunct w:val="0"/>
        <w:autoSpaceDE/>
        <w:autoSpaceDN/>
        <w:bidi w:val="0"/>
        <w:snapToGrid/>
        <w:spacing w:line="420" w:lineRule="exact"/>
        <w:ind w:firstLine="3570" w:firstLineChars="1700"/>
        <w:rPr>
          <w:rFonts w:hint="eastAsia" w:ascii="宋体" w:hAnsi="宋体" w:eastAsia="宋体" w:cs="宋体"/>
          <w:b/>
          <w:color w:val="auto"/>
          <w:sz w:val="21"/>
          <w:szCs w:val="21"/>
          <w:highlight w:val="none"/>
          <w:u w:val="single"/>
          <w:lang w:val="en-US"/>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lang w:eastAsia="zh-CN"/>
        </w:rPr>
        <w:t xml:space="preserve">广昇晋施招[2023]03号 </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42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eastAsia="zh-CN"/>
        </w:rPr>
        <w:t>莲华路及其支路和莲溪南路（厦航—和平路段）道路改造工程</w:t>
      </w:r>
      <w:r>
        <w:rPr>
          <w:rFonts w:hint="eastAsia" w:ascii="宋体" w:hAnsi="宋体" w:eastAsia="宋体" w:cs="宋体"/>
          <w:color w:val="auto"/>
          <w:sz w:val="21"/>
          <w:szCs w:val="21"/>
          <w:highlight w:val="none"/>
        </w:rPr>
        <w:t>已批准建设，建设单位为</w:t>
      </w:r>
      <w:r>
        <w:rPr>
          <w:rFonts w:hint="eastAsia" w:ascii="宋体" w:hAnsi="宋体" w:eastAsia="宋体" w:cs="宋体"/>
          <w:color w:val="auto"/>
          <w:sz w:val="21"/>
          <w:szCs w:val="21"/>
          <w:highlight w:val="none"/>
          <w:u w:val="single"/>
          <w:lang w:eastAsia="zh-CN"/>
        </w:rPr>
        <w:t>福建省泉州市晋江市青阳街道莲屿社区居民委员会</w:t>
      </w:r>
      <w:r>
        <w:rPr>
          <w:rFonts w:hint="eastAsia" w:ascii="宋体" w:hAnsi="宋体" w:eastAsia="宋体" w:cs="宋体"/>
          <w:color w:val="auto"/>
          <w:sz w:val="21"/>
          <w:szCs w:val="21"/>
          <w:highlight w:val="none"/>
        </w:rPr>
        <w:t>， 建设资金来源</w:t>
      </w:r>
      <w:r>
        <w:rPr>
          <w:rFonts w:hint="eastAsia" w:ascii="宋体" w:hAnsi="宋体" w:eastAsia="宋体" w:cs="宋体"/>
          <w:color w:val="auto"/>
          <w:sz w:val="21"/>
          <w:szCs w:val="21"/>
          <w:highlight w:val="none"/>
          <w:u w:val="single"/>
          <w:lang w:eastAsia="zh-CN"/>
        </w:rPr>
        <w:t>上级拨款</w:t>
      </w:r>
      <w:r>
        <w:rPr>
          <w:rFonts w:hint="eastAsia" w:ascii="宋体" w:hAnsi="宋体" w:eastAsia="宋体" w:cs="宋体"/>
          <w:color w:val="auto"/>
          <w:sz w:val="21"/>
          <w:szCs w:val="21"/>
          <w:highlight w:val="none"/>
          <w:u w:val="single"/>
          <w:lang w:val="en-US" w:eastAsia="zh-CN"/>
        </w:rPr>
        <w:t>及自筹</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lang w:eastAsia="zh-CN"/>
        </w:rPr>
        <w:t>福建省泉州市晋江市青阳街道莲屿社区居民委员会</w:t>
      </w:r>
      <w:r>
        <w:rPr>
          <w:rFonts w:hint="eastAsia" w:ascii="宋体" w:hAnsi="宋体" w:eastAsia="宋体" w:cs="宋体"/>
          <w:color w:val="auto"/>
          <w:sz w:val="21"/>
          <w:szCs w:val="21"/>
          <w:highlight w:val="none"/>
        </w:rPr>
        <w:t>，委托的招标代理单位为</w:t>
      </w:r>
      <w:r>
        <w:rPr>
          <w:rFonts w:hint="eastAsia" w:ascii="宋体" w:hAnsi="宋体" w:eastAsia="宋体" w:cs="宋体"/>
          <w:color w:val="auto"/>
          <w:sz w:val="21"/>
          <w:szCs w:val="21"/>
          <w:highlight w:val="none"/>
          <w:u w:val="single"/>
          <w:lang w:eastAsia="zh-CN"/>
        </w:rPr>
        <w:t>晋江广昇项目管理有限公司</w:t>
      </w:r>
      <w:r>
        <w:rPr>
          <w:rFonts w:hint="eastAsia" w:ascii="宋体" w:hAnsi="宋体" w:eastAsia="宋体" w:cs="宋体"/>
          <w:color w:val="auto"/>
          <w:sz w:val="21"/>
          <w:szCs w:val="21"/>
          <w:highlight w:val="none"/>
        </w:rPr>
        <w:t>。本项</w:t>
      </w:r>
      <w:r>
        <w:rPr>
          <w:rFonts w:hint="eastAsia" w:ascii="宋体" w:hAnsi="宋体" w:eastAsia="宋体" w:cs="宋体"/>
          <w:color w:val="auto"/>
          <w:spacing w:val="-6"/>
          <w:sz w:val="21"/>
          <w:szCs w:val="21"/>
          <w:highlight w:val="none"/>
        </w:rPr>
        <w:t>目已具备招标条件，现对该项目的施工进行公开招标。</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42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项目概况和招标范围</w:t>
      </w:r>
    </w:p>
    <w:p>
      <w:pPr>
        <w:keepNext w:val="0"/>
        <w:keepLines w:val="0"/>
        <w:pageBreakBefore w:val="0"/>
        <w:widowControl/>
        <w:numPr>
          <w:ilvl w:val="1"/>
          <w:numId w:val="2"/>
        </w:numPr>
        <w:tabs>
          <w:tab w:val="left" w:pos="10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工程建设地点：</w:t>
      </w:r>
      <w:r>
        <w:rPr>
          <w:rFonts w:hint="eastAsia" w:ascii="宋体" w:hAnsi="宋体" w:eastAsia="宋体" w:cs="宋体"/>
          <w:color w:val="auto"/>
          <w:sz w:val="21"/>
          <w:szCs w:val="21"/>
          <w:highlight w:val="none"/>
          <w:u w:val="single"/>
          <w:lang w:eastAsia="zh-CN"/>
        </w:rPr>
        <w:t>晋江市青阳街道莲屿社区</w:t>
      </w:r>
      <w:r>
        <w:rPr>
          <w:rFonts w:hint="eastAsia" w:ascii="宋体" w:hAnsi="宋体" w:eastAsia="宋体" w:cs="宋体"/>
          <w:color w:val="auto"/>
          <w:sz w:val="21"/>
          <w:szCs w:val="21"/>
          <w:highlight w:val="none"/>
        </w:rPr>
        <w:t>；</w:t>
      </w:r>
    </w:p>
    <w:p>
      <w:pPr>
        <w:keepNext w:val="0"/>
        <w:keepLines w:val="0"/>
        <w:pageBreakBefore w:val="0"/>
        <w:widowControl/>
        <w:numPr>
          <w:ilvl w:val="1"/>
          <w:numId w:val="2"/>
        </w:numPr>
        <w:tabs>
          <w:tab w:val="left" w:pos="10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工程建设规模：</w:t>
      </w:r>
      <w:r>
        <w:rPr>
          <w:rFonts w:hint="eastAsia" w:ascii="宋体" w:hAnsi="宋体" w:eastAsia="宋体" w:cs="宋体"/>
          <w:color w:val="auto"/>
          <w:spacing w:val="0"/>
          <w:sz w:val="21"/>
          <w:szCs w:val="21"/>
          <w:highlight w:val="none"/>
          <w:u w:val="single"/>
          <w:lang w:eastAsia="zh-CN"/>
        </w:rPr>
        <w:t>工程总造价约人民币178万元。具体详见招标人提供的设计文件及工程量清单</w:t>
      </w:r>
      <w:r>
        <w:rPr>
          <w:rFonts w:hint="eastAsia" w:ascii="宋体" w:hAnsi="宋体" w:eastAsia="宋体" w:cs="宋体"/>
          <w:color w:val="auto"/>
          <w:sz w:val="21"/>
          <w:szCs w:val="21"/>
          <w:highlight w:val="none"/>
        </w:rPr>
        <w:t>；</w:t>
      </w:r>
    </w:p>
    <w:p>
      <w:pPr>
        <w:keepNext w:val="0"/>
        <w:keepLines w:val="0"/>
        <w:pageBreakBefore w:val="0"/>
        <w:widowControl/>
        <w:numPr>
          <w:ilvl w:val="1"/>
          <w:numId w:val="2"/>
        </w:numPr>
        <w:tabs>
          <w:tab w:val="left" w:pos="10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招标范围和内容：</w:t>
      </w:r>
    </w:p>
    <w:p>
      <w:pPr>
        <w:keepNext w:val="0"/>
        <w:keepLines w:val="0"/>
        <w:pageBreakBefore w:val="0"/>
        <w:widowControl/>
        <w:kinsoku/>
        <w:wordWrap/>
        <w:overflowPunct/>
        <w:topLinePunct w:val="0"/>
        <w:autoSpaceDE/>
        <w:autoSpaceDN/>
        <w:bidi w:val="0"/>
        <w:adjustRightInd/>
        <w:snapToGrid/>
        <w:spacing w:line="420" w:lineRule="exact"/>
        <w:ind w:left="51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（1）工程类别：</w:t>
      </w:r>
      <w:r>
        <w:rPr>
          <w:rFonts w:hint="eastAsia" w:ascii="宋体" w:hAnsi="宋体" w:eastAsia="宋体" w:cs="宋体"/>
          <w:color w:val="auto"/>
          <w:sz w:val="21"/>
          <w:szCs w:val="21"/>
          <w:highlight w:val="none"/>
          <w:u w:val="single"/>
          <w:lang w:val="en-US" w:eastAsia="zh-CN"/>
        </w:rPr>
        <w:t>市政工程</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20" w:lineRule="exact"/>
        <w:ind w:left="5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（2）招标类型：</w:t>
      </w:r>
      <w:r>
        <w:rPr>
          <w:rFonts w:hint="eastAsia" w:ascii="宋体" w:hAnsi="宋体" w:eastAsia="宋体" w:cs="宋体"/>
          <w:color w:val="auto"/>
          <w:sz w:val="21"/>
          <w:szCs w:val="21"/>
          <w:highlight w:val="none"/>
          <w:u w:val="single"/>
          <w:lang w:val="en-US" w:eastAsia="zh-CN"/>
        </w:rPr>
        <w:t>总承包</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20" w:lineRule="exact"/>
        <w:ind w:firstLine="499" w:firstLineChars="23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（3）招标范围和内容：</w:t>
      </w:r>
      <w:r>
        <w:rPr>
          <w:rFonts w:hint="eastAsia" w:ascii="宋体" w:hAnsi="宋体" w:eastAsia="宋体" w:cs="宋体"/>
          <w:color w:val="auto"/>
          <w:spacing w:val="0"/>
          <w:sz w:val="21"/>
          <w:szCs w:val="21"/>
          <w:highlight w:val="none"/>
          <w:u w:val="single"/>
          <w:lang w:eastAsia="zh-CN"/>
        </w:rPr>
        <w:t>本招标项目莲华路及其支路和莲溪南路（厦航-和平路段）道路改造工程施工招标，工程总造价约人民币178万元。莲华路道路总长</w:t>
      </w:r>
      <w:r>
        <w:rPr>
          <w:rFonts w:hint="eastAsia" w:ascii="宋体" w:hAnsi="宋体" w:eastAsia="宋体" w:cs="宋体"/>
          <w:color w:val="auto"/>
          <w:spacing w:val="0"/>
          <w:sz w:val="21"/>
          <w:szCs w:val="21"/>
          <w:highlight w:val="none"/>
          <w:u w:val="single"/>
          <w:lang w:val="en-US" w:eastAsia="zh-CN"/>
        </w:rPr>
        <w:t>约</w:t>
      </w:r>
      <w:r>
        <w:rPr>
          <w:rFonts w:hint="eastAsia" w:ascii="宋体" w:hAnsi="宋体" w:eastAsia="宋体" w:cs="宋体"/>
          <w:color w:val="auto"/>
          <w:spacing w:val="0"/>
          <w:sz w:val="21"/>
          <w:szCs w:val="21"/>
          <w:highlight w:val="none"/>
          <w:u w:val="single"/>
          <w:lang w:eastAsia="zh-CN"/>
        </w:rPr>
        <w:t>434.7米，莲溪南路道路总长</w:t>
      </w:r>
      <w:r>
        <w:rPr>
          <w:rFonts w:hint="eastAsia" w:ascii="宋体" w:hAnsi="宋体" w:eastAsia="宋体" w:cs="宋体"/>
          <w:color w:val="auto"/>
          <w:spacing w:val="0"/>
          <w:sz w:val="21"/>
          <w:szCs w:val="21"/>
          <w:highlight w:val="none"/>
          <w:u w:val="single"/>
          <w:lang w:val="en-US" w:eastAsia="zh-CN"/>
        </w:rPr>
        <w:t>约</w:t>
      </w:r>
      <w:r>
        <w:rPr>
          <w:rFonts w:hint="eastAsia" w:ascii="宋体" w:hAnsi="宋体" w:eastAsia="宋体" w:cs="宋体"/>
          <w:color w:val="auto"/>
          <w:spacing w:val="0"/>
          <w:sz w:val="21"/>
          <w:szCs w:val="21"/>
          <w:highlight w:val="none"/>
          <w:u w:val="single"/>
          <w:lang w:eastAsia="zh-CN"/>
        </w:rPr>
        <w:t>184米，支路一道路总长</w:t>
      </w:r>
      <w:r>
        <w:rPr>
          <w:rFonts w:hint="eastAsia" w:ascii="宋体" w:hAnsi="宋体" w:eastAsia="宋体" w:cs="宋体"/>
          <w:color w:val="auto"/>
          <w:spacing w:val="0"/>
          <w:sz w:val="21"/>
          <w:szCs w:val="21"/>
          <w:highlight w:val="none"/>
          <w:u w:val="single"/>
          <w:lang w:val="en-US" w:eastAsia="zh-CN"/>
        </w:rPr>
        <w:t>约</w:t>
      </w:r>
      <w:r>
        <w:rPr>
          <w:rFonts w:hint="eastAsia" w:ascii="宋体" w:hAnsi="宋体" w:eastAsia="宋体" w:cs="宋体"/>
          <w:color w:val="auto"/>
          <w:spacing w:val="0"/>
          <w:sz w:val="21"/>
          <w:szCs w:val="21"/>
          <w:highlight w:val="none"/>
          <w:u w:val="single"/>
          <w:lang w:eastAsia="zh-CN"/>
        </w:rPr>
        <w:t>312米，支路二道路总长</w:t>
      </w:r>
      <w:r>
        <w:rPr>
          <w:rFonts w:hint="eastAsia" w:ascii="宋体" w:hAnsi="宋体" w:eastAsia="宋体" w:cs="宋体"/>
          <w:color w:val="auto"/>
          <w:spacing w:val="0"/>
          <w:sz w:val="21"/>
          <w:szCs w:val="21"/>
          <w:highlight w:val="none"/>
          <w:u w:val="single"/>
          <w:lang w:val="en-US" w:eastAsia="zh-CN"/>
        </w:rPr>
        <w:t>约</w:t>
      </w:r>
      <w:r>
        <w:rPr>
          <w:rFonts w:hint="eastAsia" w:ascii="宋体" w:hAnsi="宋体" w:eastAsia="宋体" w:cs="宋体"/>
          <w:color w:val="auto"/>
          <w:spacing w:val="0"/>
          <w:sz w:val="21"/>
          <w:szCs w:val="21"/>
          <w:highlight w:val="none"/>
          <w:u w:val="single"/>
          <w:lang w:eastAsia="zh-CN"/>
        </w:rPr>
        <w:t>167.4米，</w:t>
      </w:r>
      <w:r>
        <w:rPr>
          <w:rFonts w:hint="eastAsia" w:ascii="宋体" w:hAnsi="宋体" w:eastAsia="宋体" w:cs="宋体"/>
          <w:color w:val="auto"/>
          <w:spacing w:val="0"/>
          <w:sz w:val="21"/>
          <w:szCs w:val="21"/>
          <w:highlight w:val="none"/>
          <w:u w:val="single"/>
          <w:lang w:val="en-US" w:eastAsia="zh-CN"/>
        </w:rPr>
        <w:t>建设内容包括路面改造、标线、路沿石改造工程等，</w:t>
      </w:r>
      <w:r>
        <w:rPr>
          <w:rFonts w:hint="eastAsia" w:ascii="宋体" w:hAnsi="宋体" w:eastAsia="宋体" w:cs="宋体"/>
          <w:color w:val="auto"/>
          <w:spacing w:val="0"/>
          <w:sz w:val="21"/>
          <w:szCs w:val="21"/>
          <w:highlight w:val="none"/>
          <w:u w:val="single"/>
          <w:lang w:eastAsia="zh-CN"/>
        </w:rPr>
        <w:t>具体详见招标人提供的设计文件及工程量清单</w:t>
      </w:r>
      <w:r>
        <w:rPr>
          <w:rFonts w:hint="eastAsia" w:ascii="宋体" w:hAnsi="宋体" w:eastAsia="宋体" w:cs="宋体"/>
          <w:color w:val="auto"/>
          <w:spacing w:val="0"/>
          <w:sz w:val="21"/>
          <w:szCs w:val="21"/>
          <w:highlight w:val="none"/>
        </w:rPr>
        <w:t>；</w:t>
      </w:r>
    </w:p>
    <w:p>
      <w:pPr>
        <w:keepNext w:val="0"/>
        <w:keepLines w:val="0"/>
        <w:pageBreakBefore w:val="0"/>
        <w:widowControl/>
        <w:numPr>
          <w:ilvl w:val="1"/>
          <w:numId w:val="2"/>
        </w:numPr>
        <w:tabs>
          <w:tab w:val="left" w:pos="10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招标控制价（即最高投标限价，下同）：人民币</w:t>
      </w:r>
      <w:r>
        <w:rPr>
          <w:rFonts w:hint="eastAsia" w:ascii="宋体" w:hAnsi="宋体" w:eastAsia="宋体" w:cs="宋体"/>
          <w:color w:val="auto"/>
          <w:sz w:val="21"/>
          <w:szCs w:val="21"/>
          <w:highlight w:val="none"/>
          <w:u w:val="single"/>
          <w:lang w:val="en-US" w:eastAsia="zh-CN"/>
        </w:rPr>
        <w:t>1778008</w:t>
      </w:r>
      <w:r>
        <w:rPr>
          <w:rFonts w:hint="eastAsia" w:ascii="宋体" w:hAnsi="宋体" w:eastAsia="宋体" w:cs="宋体"/>
          <w:color w:val="auto"/>
          <w:sz w:val="21"/>
          <w:szCs w:val="21"/>
          <w:highlight w:val="none"/>
        </w:rPr>
        <w:t>元；</w:t>
      </w:r>
    </w:p>
    <w:p>
      <w:pPr>
        <w:keepNext w:val="0"/>
        <w:keepLines w:val="0"/>
        <w:pageBreakBefore w:val="0"/>
        <w:widowControl/>
        <w:numPr>
          <w:ilvl w:val="1"/>
          <w:numId w:val="2"/>
        </w:numPr>
        <w:tabs>
          <w:tab w:val="left" w:pos="10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个日历天；</w:t>
      </w:r>
    </w:p>
    <w:p>
      <w:pPr>
        <w:keepNext w:val="0"/>
        <w:keepLines w:val="0"/>
        <w:pageBreakBefore w:val="0"/>
        <w:widowControl/>
        <w:numPr>
          <w:ilvl w:val="1"/>
          <w:numId w:val="2"/>
        </w:numPr>
        <w:tabs>
          <w:tab w:val="left" w:pos="10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标段划分：</w:t>
      </w:r>
      <w:r>
        <w:rPr>
          <w:rFonts w:hint="eastAsia" w:ascii="宋体" w:hAnsi="宋体" w:eastAsia="宋体" w:cs="宋体"/>
          <w:color w:val="auto"/>
          <w:sz w:val="21"/>
          <w:szCs w:val="21"/>
          <w:highlight w:val="none"/>
          <w:u w:val="single"/>
        </w:rPr>
        <w:t>一个标段</w:t>
      </w:r>
      <w:r>
        <w:rPr>
          <w:rFonts w:hint="eastAsia" w:ascii="宋体" w:hAnsi="宋体" w:eastAsia="宋体" w:cs="宋体"/>
          <w:color w:val="auto"/>
          <w:sz w:val="21"/>
          <w:szCs w:val="21"/>
          <w:highlight w:val="none"/>
        </w:rPr>
        <w:t>；</w:t>
      </w:r>
    </w:p>
    <w:p>
      <w:pPr>
        <w:keepNext w:val="0"/>
        <w:keepLines w:val="0"/>
        <w:pageBreakBefore w:val="0"/>
        <w:widowControl/>
        <w:numPr>
          <w:ilvl w:val="1"/>
          <w:numId w:val="2"/>
        </w:numPr>
        <w:tabs>
          <w:tab w:val="left" w:pos="10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r>
        <w:rPr>
          <w:rFonts w:hint="eastAsia" w:ascii="宋体" w:hAnsi="宋体" w:eastAsia="宋体" w:cs="宋体"/>
          <w:color w:val="auto"/>
          <w:sz w:val="21"/>
          <w:szCs w:val="21"/>
          <w:highlight w:val="none"/>
          <w:u w:val="single"/>
        </w:rPr>
        <w:t>符合《工程施工质量验收规范》并达到合格标准</w:t>
      </w:r>
      <w:r>
        <w:rPr>
          <w:rFonts w:hint="eastAsia" w:ascii="宋体" w:hAnsi="宋体" w:eastAsia="宋体" w:cs="宋体"/>
          <w:color w:val="auto"/>
          <w:sz w:val="21"/>
          <w:szCs w:val="21"/>
          <w:highlight w:val="none"/>
        </w:rPr>
        <w:t>。</w:t>
      </w:r>
    </w:p>
    <w:p>
      <w:pPr>
        <w:keepNext w:val="0"/>
        <w:keepLines w:val="0"/>
        <w:pageBreakBefore w:val="0"/>
        <w:widowControl/>
        <w:numPr>
          <w:ilvl w:val="0"/>
          <w:numId w:val="2"/>
        </w:numPr>
        <w:tabs>
          <w:tab w:val="left" w:pos="900"/>
          <w:tab w:val="left" w:pos="1000"/>
          <w:tab w:val="left" w:pos="1100"/>
        </w:tabs>
        <w:kinsoku/>
        <w:wordWrap/>
        <w:overflowPunct/>
        <w:topLinePunct w:val="0"/>
        <w:autoSpaceDE/>
        <w:autoSpaceDN/>
        <w:bidi w:val="0"/>
        <w:adjustRightInd/>
        <w:snapToGrid/>
        <w:spacing w:line="42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投标人资格要求及审查办法</w:t>
      </w:r>
    </w:p>
    <w:p>
      <w:pPr>
        <w:keepNext w:val="0"/>
        <w:keepLines w:val="0"/>
        <w:pageBreakBefore w:val="0"/>
        <w:widowControl/>
        <w:numPr>
          <w:ilvl w:val="1"/>
          <w:numId w:val="2"/>
        </w:numPr>
        <w:tabs>
          <w:tab w:val="left" w:pos="900"/>
          <w:tab w:val="left" w:pos="1000"/>
          <w:tab w:val="left" w:pos="11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本招标项目要求投标人须具备有效的不低于</w:t>
      </w:r>
      <w:r>
        <w:rPr>
          <w:rFonts w:hint="eastAsia" w:ascii="宋体" w:hAnsi="宋体" w:eastAsia="宋体" w:cs="宋体"/>
          <w:b/>
          <w:bCs w:val="0"/>
          <w:color w:val="auto"/>
          <w:spacing w:val="-3"/>
          <w:sz w:val="21"/>
          <w:szCs w:val="21"/>
          <w:highlight w:val="none"/>
          <w:u w:val="single"/>
          <w:lang w:val="en-US" w:eastAsia="zh-CN"/>
        </w:rPr>
        <w:t>叁</w:t>
      </w:r>
      <w:r>
        <w:rPr>
          <w:rFonts w:hint="eastAsia" w:ascii="宋体" w:hAnsi="宋体" w:eastAsia="宋体" w:cs="宋体"/>
          <w:color w:val="auto"/>
          <w:spacing w:val="-3"/>
          <w:sz w:val="21"/>
          <w:szCs w:val="21"/>
          <w:highlight w:val="none"/>
        </w:rPr>
        <w:t>级</w:t>
      </w:r>
      <w:r>
        <w:rPr>
          <w:rFonts w:hint="eastAsia" w:ascii="宋体" w:hAnsi="宋体" w:cs="宋体"/>
          <w:b/>
          <w:bCs/>
          <w:color w:val="auto"/>
          <w:spacing w:val="-3"/>
          <w:sz w:val="21"/>
          <w:szCs w:val="21"/>
          <w:highlight w:val="none"/>
          <w:u w:val="single"/>
          <w:lang w:eastAsia="zh-CN"/>
        </w:rPr>
        <w:t>市政公用工程施工总承包</w:t>
      </w:r>
      <w:r>
        <w:rPr>
          <w:rFonts w:hint="eastAsia" w:ascii="宋体" w:hAnsi="宋体" w:eastAsia="宋体" w:cs="宋体"/>
          <w:color w:val="auto"/>
          <w:spacing w:val="-3"/>
          <w:sz w:val="21"/>
          <w:szCs w:val="21"/>
          <w:highlight w:val="none"/>
        </w:rPr>
        <w:t>资质和《施工企业安全生产许可证》</w:t>
      </w:r>
      <w:r>
        <w:rPr>
          <w:rFonts w:hint="eastAsia" w:ascii="宋体" w:hAnsi="宋体" w:eastAsia="宋体" w:cs="宋体"/>
          <w:color w:val="auto"/>
          <w:sz w:val="21"/>
          <w:szCs w:val="21"/>
          <w:highlight w:val="none"/>
        </w:rPr>
        <w:t>。</w:t>
      </w:r>
    </w:p>
    <w:p>
      <w:pPr>
        <w:keepNext w:val="0"/>
        <w:keepLines w:val="0"/>
        <w:pageBreakBefore w:val="0"/>
        <w:widowControl/>
        <w:numPr>
          <w:ilvl w:val="1"/>
          <w:numId w:val="2"/>
        </w:numPr>
        <w:tabs>
          <w:tab w:val="left" w:pos="900"/>
          <w:tab w:val="left" w:pos="1000"/>
          <w:tab w:val="left" w:pos="1100"/>
        </w:tabs>
        <w:kinsoku/>
        <w:wordWrap/>
        <w:overflowPunct/>
        <w:topLinePunct w:val="0"/>
        <w:autoSpaceDE/>
        <w:autoSpaceDN/>
        <w:bidi w:val="0"/>
        <w:adjustRightInd/>
        <w:snapToGrid/>
        <w:spacing w:line="420" w:lineRule="exact"/>
        <w:jc w:val="both"/>
        <w:textAlignment w:val="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投标人拟担任本招标项目的项目负责人（即项目经理，下同）须具备有效的不低于</w:t>
      </w:r>
      <w:r>
        <w:rPr>
          <w:rFonts w:hint="eastAsia" w:ascii="宋体" w:hAnsi="宋体" w:eastAsia="宋体" w:cs="宋体"/>
          <w:b/>
          <w:bCs/>
          <w:color w:val="auto"/>
          <w:sz w:val="21"/>
          <w:szCs w:val="21"/>
          <w:highlight w:val="none"/>
          <w:u w:val="single"/>
        </w:rPr>
        <w:t>贰</w:t>
      </w:r>
      <w:r>
        <w:rPr>
          <w:rFonts w:hint="eastAsia" w:ascii="宋体" w:hAnsi="宋体" w:eastAsia="宋体" w:cs="宋体"/>
          <w:bCs/>
          <w:color w:val="auto"/>
          <w:sz w:val="21"/>
          <w:szCs w:val="21"/>
          <w:highlight w:val="none"/>
        </w:rPr>
        <w:t>级</w:t>
      </w:r>
      <w:r>
        <w:rPr>
          <w:rFonts w:hint="eastAsia" w:ascii="宋体" w:hAnsi="宋体" w:cs="宋体"/>
          <w:b/>
          <w:bCs/>
          <w:color w:val="auto"/>
          <w:sz w:val="21"/>
          <w:szCs w:val="21"/>
          <w:highlight w:val="none"/>
          <w:u w:val="single"/>
          <w:lang w:eastAsia="zh-CN"/>
        </w:rPr>
        <w:t>市政公用工程</w:t>
      </w:r>
      <w:r>
        <w:rPr>
          <w:rFonts w:hint="eastAsia" w:ascii="宋体" w:hAnsi="宋体" w:eastAsia="宋体" w:cs="宋体"/>
          <w:color w:val="auto"/>
          <w:sz w:val="21"/>
          <w:szCs w:val="21"/>
          <w:highlight w:val="none"/>
        </w:rPr>
        <w:t>专业注册建造师执业资格，并具备有效的安全生产考核合格证书（B证）。</w:t>
      </w:r>
    </w:p>
    <w:p>
      <w:pPr>
        <w:keepNext w:val="0"/>
        <w:keepLines w:val="0"/>
        <w:pageBreakBefore w:val="0"/>
        <w:widowControl/>
        <w:numPr>
          <w:ilvl w:val="1"/>
          <w:numId w:val="2"/>
        </w:numPr>
        <w:tabs>
          <w:tab w:val="left" w:pos="900"/>
          <w:tab w:val="left" w:pos="1000"/>
          <w:tab w:val="left" w:pos="11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联合体投标。</w:t>
      </w:r>
    </w:p>
    <w:p>
      <w:pPr>
        <w:keepNext w:val="0"/>
        <w:keepLines w:val="0"/>
        <w:pageBreakBefore w:val="0"/>
        <w:widowControl/>
        <w:numPr>
          <w:ilvl w:val="1"/>
          <w:numId w:val="2"/>
        </w:numPr>
        <w:tabs>
          <w:tab w:val="left" w:pos="900"/>
          <w:tab w:val="left" w:pos="1000"/>
          <w:tab w:val="left" w:pos="1100"/>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eastAsia="zh-CN"/>
        </w:rPr>
        <w:t>不</w:t>
      </w:r>
      <w:r>
        <w:rPr>
          <w:rFonts w:hint="eastAsia" w:ascii="宋体" w:hAnsi="宋体" w:eastAsia="宋体" w:cs="宋体"/>
          <w:color w:val="auto"/>
          <w:sz w:val="21"/>
          <w:szCs w:val="21"/>
          <w:highlight w:val="none"/>
          <w:u w:val="single"/>
        </w:rPr>
        <w:t>应用</w:t>
      </w:r>
      <w:r>
        <w:rPr>
          <w:rFonts w:hint="eastAsia" w:ascii="宋体" w:hAnsi="宋体" w:eastAsia="宋体" w:cs="宋体"/>
          <w:color w:val="auto"/>
          <w:sz w:val="21"/>
          <w:szCs w:val="21"/>
          <w:highlight w:val="none"/>
        </w:rPr>
        <w:t>福建省建筑施工企业信用综合评价分值。</w:t>
      </w:r>
    </w:p>
    <w:p>
      <w:pPr>
        <w:keepNext w:val="0"/>
        <w:keepLines w:val="0"/>
        <w:pageBreakBefore w:val="0"/>
        <w:widowControl/>
        <w:numPr>
          <w:ilvl w:val="1"/>
          <w:numId w:val="2"/>
        </w:numPr>
        <w:tabs>
          <w:tab w:val="left" w:pos="900"/>
          <w:tab w:val="left" w:pos="1000"/>
          <w:tab w:val="left" w:pos="110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各投标人均可就本招标项目上述标段中的</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个标段投标，但最多允许中标</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个标段。</w:t>
      </w:r>
    </w:p>
    <w:p>
      <w:pPr>
        <w:keepNext w:val="0"/>
        <w:keepLines w:val="0"/>
        <w:pageBreakBefore w:val="0"/>
        <w:widowControl/>
        <w:numPr>
          <w:ilvl w:val="1"/>
          <w:numId w:val="2"/>
        </w:numPr>
        <w:tabs>
          <w:tab w:val="left" w:pos="900"/>
          <w:tab w:val="left" w:pos="1000"/>
          <w:tab w:val="left" w:pos="110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其他资格要求：</w:t>
      </w:r>
      <w:r>
        <w:rPr>
          <w:rFonts w:hint="eastAsia" w:ascii="宋体" w:hAnsi="宋体" w:eastAsia="宋体" w:cs="宋体"/>
          <w:color w:val="auto"/>
          <w:sz w:val="21"/>
          <w:szCs w:val="21"/>
          <w:highlight w:val="none"/>
          <w:u w:val="single"/>
        </w:rPr>
        <w:t>具体要求详见招标文件</w:t>
      </w:r>
      <w:r>
        <w:rPr>
          <w:rFonts w:hint="eastAsia" w:ascii="宋体" w:hAnsi="宋体" w:eastAsia="宋体" w:cs="宋体"/>
          <w:color w:val="auto"/>
          <w:sz w:val="21"/>
          <w:szCs w:val="21"/>
          <w:highlight w:val="none"/>
        </w:rPr>
        <w:t>。</w:t>
      </w:r>
    </w:p>
    <w:p>
      <w:pPr>
        <w:keepNext w:val="0"/>
        <w:keepLines w:val="0"/>
        <w:pageBreakBefore w:val="0"/>
        <w:widowControl/>
        <w:numPr>
          <w:ilvl w:val="1"/>
          <w:numId w:val="2"/>
        </w:numPr>
        <w:tabs>
          <w:tab w:val="left" w:pos="900"/>
          <w:tab w:val="left" w:pos="1000"/>
          <w:tab w:val="left" w:pos="110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本招标项目采用</w:t>
      </w:r>
      <w:r>
        <w:rPr>
          <w:rFonts w:hint="eastAsia" w:ascii="宋体" w:hAnsi="宋体" w:eastAsia="宋体" w:cs="宋体"/>
          <w:color w:val="auto"/>
          <w:sz w:val="21"/>
          <w:szCs w:val="21"/>
          <w:highlight w:val="none"/>
          <w:u w:val="single"/>
        </w:rPr>
        <w:t>资格后审</w:t>
      </w:r>
      <w:r>
        <w:rPr>
          <w:rFonts w:hint="eastAsia" w:ascii="宋体" w:hAnsi="宋体" w:eastAsia="宋体" w:cs="宋体"/>
          <w:color w:val="auto"/>
          <w:sz w:val="21"/>
          <w:szCs w:val="21"/>
          <w:highlight w:val="none"/>
        </w:rPr>
        <w:t>方式对投标人的资格进行审查</w:t>
      </w:r>
    </w:p>
    <w:p>
      <w:pPr>
        <w:keepNext w:val="0"/>
        <w:keepLines w:val="0"/>
        <w:pageBreakBefore w:val="0"/>
        <w:widowControl/>
        <w:numPr>
          <w:ilvl w:val="1"/>
          <w:numId w:val="2"/>
        </w:numPr>
        <w:tabs>
          <w:tab w:val="left" w:pos="900"/>
          <w:tab w:val="left" w:pos="1000"/>
          <w:tab w:val="left" w:pos="110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pacing w:val="0"/>
          <w:sz w:val="21"/>
          <w:szCs w:val="21"/>
          <w:highlight w:val="none"/>
        </w:rPr>
      </w:pPr>
      <w:bookmarkStart w:id="5" w:name="_GoBack"/>
      <w:bookmarkEnd w:id="5"/>
      <w:r>
        <w:rPr>
          <w:rFonts w:hint="eastAsia" w:ascii="宋体" w:hAnsi="宋体" w:eastAsia="宋体" w:cs="宋体"/>
          <w:color w:val="auto"/>
          <w:spacing w:val="0"/>
          <w:sz w:val="21"/>
          <w:szCs w:val="21"/>
          <w:highlight w:val="none"/>
        </w:rPr>
        <w:t>本招标项目不要求中标人在项目所在地设立分（子）公司，中标人应当依法履行纳税义务。</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p>
      <w:pPr>
        <w:keepNext w:val="0"/>
        <w:keepLines w:val="0"/>
        <w:pageBreakBefore w:val="0"/>
        <w:widowControl/>
        <w:tabs>
          <w:tab w:val="left" w:pos="900"/>
          <w:tab w:val="left" w:pos="1100"/>
        </w:tabs>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4.1</w:t>
      </w:r>
      <w:r>
        <w:rPr>
          <w:rFonts w:hint="eastAsia" w:ascii="宋体" w:hAnsi="宋体" w:eastAsia="宋体" w:cs="宋体"/>
          <w:color w:val="auto"/>
          <w:spacing w:val="0"/>
          <w:sz w:val="21"/>
          <w:szCs w:val="21"/>
          <w:highlight w:val="none"/>
        </w:rPr>
        <w:t>凡有意参加投标者，请于</w:t>
      </w:r>
      <w:r>
        <w:rPr>
          <w:rFonts w:hint="eastAsia" w:ascii="宋体" w:hAnsi="宋体" w:eastAsia="宋体" w:cs="宋体"/>
          <w:color w:val="auto"/>
          <w:spacing w:val="0"/>
          <w:sz w:val="21"/>
          <w:szCs w:val="21"/>
          <w:highlight w:val="none"/>
          <w:u w:val="single"/>
          <w:lang w:val="en-US" w:eastAsia="zh-CN"/>
        </w:rPr>
        <w:t>2023</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u w:val="single"/>
          <w:lang w:val="en-US" w:eastAsia="zh-CN"/>
        </w:rPr>
        <w:t xml:space="preserve"> 6 </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u w:val="single"/>
          <w:lang w:val="en-US" w:eastAsia="zh-CN"/>
        </w:rPr>
        <w:t xml:space="preserve"> 6 </w:t>
      </w:r>
      <w:r>
        <w:rPr>
          <w:rFonts w:hint="eastAsia" w:ascii="宋体" w:hAnsi="宋体" w:eastAsia="宋体" w:cs="宋体"/>
          <w:color w:val="auto"/>
          <w:spacing w:val="0"/>
          <w:sz w:val="21"/>
          <w:szCs w:val="21"/>
          <w:highlight w:val="none"/>
        </w:rPr>
        <w:t>日</w:t>
      </w:r>
      <w:r>
        <w:rPr>
          <w:rFonts w:hint="eastAsia" w:ascii="宋体" w:hAnsi="宋体" w:eastAsia="宋体" w:cs="宋体"/>
          <w:color w:val="auto"/>
          <w:spacing w:val="0"/>
          <w:sz w:val="21"/>
          <w:szCs w:val="21"/>
          <w:highlight w:val="none"/>
          <w:u w:val="single"/>
          <w:lang w:val="en-US" w:eastAsia="zh-CN"/>
        </w:rPr>
        <w:t>08</w:t>
      </w:r>
      <w:r>
        <w:rPr>
          <w:rFonts w:hint="eastAsia" w:ascii="宋体" w:hAnsi="宋体" w:eastAsia="宋体" w:cs="宋体"/>
          <w:color w:val="auto"/>
          <w:spacing w:val="0"/>
          <w:sz w:val="21"/>
          <w:szCs w:val="21"/>
          <w:highlight w:val="none"/>
        </w:rPr>
        <w:t>时</w:t>
      </w:r>
      <w:r>
        <w:rPr>
          <w:rFonts w:hint="eastAsia" w:ascii="宋体" w:hAnsi="宋体" w:eastAsia="宋体" w:cs="宋体"/>
          <w:color w:val="auto"/>
          <w:spacing w:val="0"/>
          <w:sz w:val="21"/>
          <w:szCs w:val="21"/>
          <w:highlight w:val="none"/>
          <w:u w:val="single"/>
          <w:lang w:val="en-US" w:eastAsia="zh-CN"/>
        </w:rPr>
        <w:t>00</w:t>
      </w:r>
      <w:r>
        <w:rPr>
          <w:rFonts w:hint="eastAsia" w:ascii="宋体" w:hAnsi="宋体" w:eastAsia="宋体" w:cs="宋体"/>
          <w:color w:val="auto"/>
          <w:spacing w:val="0"/>
          <w:sz w:val="21"/>
          <w:szCs w:val="21"/>
          <w:highlight w:val="none"/>
        </w:rPr>
        <w:t>分至</w:t>
      </w:r>
      <w:r>
        <w:rPr>
          <w:rFonts w:hint="eastAsia" w:ascii="宋体" w:hAnsi="宋体" w:eastAsia="宋体" w:cs="宋体"/>
          <w:color w:val="auto"/>
          <w:spacing w:val="0"/>
          <w:sz w:val="21"/>
          <w:szCs w:val="21"/>
          <w:highlight w:val="none"/>
          <w:u w:val="single"/>
          <w:lang w:val="en-US" w:eastAsia="zh-CN"/>
        </w:rPr>
        <w:t>2023</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u w:val="single"/>
          <w:lang w:val="en-US" w:eastAsia="zh-CN"/>
        </w:rPr>
        <w:t xml:space="preserve"> 6</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u w:val="single"/>
          <w:lang w:val="en-US" w:eastAsia="zh-CN"/>
        </w:rPr>
        <w:t xml:space="preserve"> 16</w:t>
      </w:r>
      <w:r>
        <w:rPr>
          <w:rFonts w:hint="eastAsia" w:ascii="宋体" w:hAnsi="宋体" w:eastAsia="宋体" w:cs="宋体"/>
          <w:color w:val="auto"/>
          <w:spacing w:val="0"/>
          <w:sz w:val="21"/>
          <w:szCs w:val="21"/>
          <w:highlight w:val="none"/>
        </w:rPr>
        <w:t>日</w:t>
      </w:r>
      <w:r>
        <w:rPr>
          <w:rFonts w:hint="eastAsia" w:ascii="宋体" w:hAnsi="宋体" w:eastAsia="宋体" w:cs="宋体"/>
          <w:color w:val="auto"/>
          <w:spacing w:val="0"/>
          <w:sz w:val="21"/>
          <w:szCs w:val="21"/>
          <w:highlight w:val="none"/>
          <w:u w:val="single"/>
        </w:rPr>
        <w:t>1</w:t>
      </w:r>
      <w:r>
        <w:rPr>
          <w:rFonts w:hint="eastAsia" w:ascii="宋体" w:hAnsi="宋体" w:eastAsia="宋体" w:cs="宋体"/>
          <w:color w:val="auto"/>
          <w:spacing w:val="0"/>
          <w:sz w:val="21"/>
          <w:szCs w:val="21"/>
          <w:highlight w:val="none"/>
          <w:u w:val="single"/>
          <w:lang w:val="en-US" w:eastAsia="zh-CN"/>
        </w:rPr>
        <w:t>7</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时</w:t>
      </w:r>
      <w:r>
        <w:rPr>
          <w:rFonts w:hint="eastAsia" w:ascii="宋体" w:hAnsi="宋体" w:eastAsia="宋体" w:cs="宋体"/>
          <w:color w:val="auto"/>
          <w:spacing w:val="0"/>
          <w:sz w:val="21"/>
          <w:szCs w:val="21"/>
          <w:highlight w:val="none"/>
          <w:u w:val="single"/>
          <w:lang w:val="en-US" w:eastAsia="zh-CN"/>
        </w:rPr>
        <w:t>00</w:t>
      </w:r>
      <w:r>
        <w:rPr>
          <w:rFonts w:hint="eastAsia" w:ascii="宋体" w:hAnsi="宋体" w:eastAsia="宋体" w:cs="宋体"/>
          <w:color w:val="auto"/>
          <w:spacing w:val="0"/>
          <w:sz w:val="21"/>
          <w:szCs w:val="21"/>
          <w:highlight w:val="none"/>
        </w:rPr>
        <w:t>分止；</w:t>
      </w:r>
      <w:r>
        <w:rPr>
          <w:rFonts w:hint="eastAsia" w:ascii="宋体" w:hAnsi="宋体" w:eastAsia="宋体" w:cs="宋体"/>
          <w:color w:val="auto"/>
          <w:spacing w:val="0"/>
          <w:sz w:val="21"/>
          <w:szCs w:val="21"/>
          <w:highlight w:val="none"/>
          <w:lang w:eastAsia="zh-CN"/>
        </w:rPr>
        <w:t>报名购买招标文件可通过随行易交易公共资源交易平台网站（https://www.enjoy5191.com）搜索本项目名称在线登记并获取招标资料。招标资料（含招标文件、工程量清单及预算书电子版等资料）每套售价300元（售后不退）。超过时间未报名的，视为不参与本项目投标。</w:t>
      </w:r>
      <w:r>
        <w:rPr>
          <w:rFonts w:hint="eastAsia" w:ascii="宋体" w:hAnsi="宋体" w:eastAsia="宋体" w:cs="宋体"/>
          <w:color w:val="auto"/>
          <w:spacing w:val="0"/>
          <w:sz w:val="21"/>
          <w:szCs w:val="21"/>
          <w:highlight w:val="none"/>
        </w:rPr>
        <w:t>对平台操作有任何疑问，请联系福建随行软件有限公司，联系电话:400-870-5191。</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w:t>
      </w:r>
    </w:p>
    <w:p>
      <w:pPr>
        <w:keepNext w:val="0"/>
        <w:keepLines w:val="0"/>
        <w:pageBreakBefore w:val="0"/>
        <w:widowControl/>
        <w:tabs>
          <w:tab w:val="left" w:pos="0"/>
          <w:tab w:val="left" w:pos="900"/>
          <w:tab w:val="left" w:pos="1100"/>
        </w:tabs>
        <w:kinsoku/>
        <w:wordWrap/>
        <w:overflowPunct/>
        <w:topLinePunct w:val="0"/>
        <w:autoSpaceDE/>
        <w:autoSpaceDN/>
        <w:bidi w:val="0"/>
        <w:adjustRightInd/>
        <w:snapToGrid/>
        <w:spacing w:line="420" w:lineRule="exact"/>
        <w:ind w:firstLine="5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本招标项目采用的评标办法：</w:t>
      </w:r>
      <w:r>
        <w:rPr>
          <w:rFonts w:hint="eastAsia" w:ascii="宋体" w:hAnsi="宋体" w:eastAsia="宋体" w:cs="宋体"/>
          <w:color w:val="auto"/>
          <w:sz w:val="21"/>
          <w:szCs w:val="21"/>
          <w:highlight w:val="none"/>
          <w:u w:val="single"/>
        </w:rPr>
        <w:t>简易评标法</w:t>
      </w:r>
      <w:r>
        <w:rPr>
          <w:rFonts w:hint="eastAsia" w:ascii="宋体" w:hAnsi="宋体" w:eastAsia="宋体" w:cs="宋体"/>
          <w:color w:val="auto"/>
          <w:sz w:val="21"/>
          <w:szCs w:val="21"/>
          <w:highlight w:val="none"/>
        </w:rPr>
        <w:t>。</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投标保证金的提交</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451" w:firstLineChars="21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6.1.投标保证金</w:t>
      </w:r>
      <w:r>
        <w:rPr>
          <w:rFonts w:hint="eastAsia" w:ascii="宋体" w:hAnsi="宋体" w:eastAsia="宋体" w:cs="宋体"/>
          <w:color w:val="auto"/>
          <w:sz w:val="21"/>
          <w:szCs w:val="21"/>
          <w:highlight w:val="none"/>
          <w:lang w:eastAsia="zh-CN"/>
        </w:rPr>
        <w:t>（现金）</w:t>
      </w:r>
      <w:r>
        <w:rPr>
          <w:rFonts w:hint="eastAsia" w:ascii="宋体" w:hAnsi="宋体" w:eastAsia="宋体" w:cs="宋体"/>
          <w:color w:val="auto"/>
          <w:sz w:val="21"/>
          <w:szCs w:val="21"/>
          <w:highlight w:val="none"/>
        </w:rPr>
        <w:t>提交的时间：</w:t>
      </w:r>
      <w:r>
        <w:rPr>
          <w:rFonts w:hint="eastAsia" w:ascii="宋体" w:hAnsi="宋体" w:eastAsia="宋体" w:cs="宋体"/>
          <w:b/>
          <w:bCs/>
          <w:color w:val="auto"/>
          <w:sz w:val="21"/>
          <w:szCs w:val="21"/>
          <w:highlight w:val="none"/>
          <w:u w:val="single"/>
          <w:lang w:bidi="zh-CN"/>
        </w:rPr>
        <w:t>于投标截止时间前一个工作日17:00前汇到</w:t>
      </w:r>
      <w:r>
        <w:rPr>
          <w:rFonts w:hint="eastAsia" w:ascii="宋体" w:hAnsi="宋体" w:eastAsia="宋体" w:cs="宋体"/>
          <w:b/>
          <w:bCs/>
          <w:color w:val="auto"/>
          <w:sz w:val="21"/>
          <w:szCs w:val="21"/>
          <w:highlight w:val="none"/>
          <w:u w:val="single"/>
          <w:lang w:eastAsia="zh-CN" w:bidi="zh-CN"/>
        </w:rPr>
        <w:t>招标文件</w:t>
      </w:r>
      <w:r>
        <w:rPr>
          <w:rFonts w:hint="eastAsia" w:ascii="宋体" w:hAnsi="宋体" w:eastAsia="宋体" w:cs="宋体"/>
          <w:b/>
          <w:bCs/>
          <w:color w:val="auto"/>
          <w:sz w:val="21"/>
          <w:szCs w:val="21"/>
          <w:highlight w:val="none"/>
          <w:u w:val="single"/>
          <w:lang w:bidi="zh-CN"/>
        </w:rPr>
        <w:t>指定账户（以银行实时对账单为准）</w:t>
      </w:r>
      <w:r>
        <w:rPr>
          <w:rFonts w:hint="eastAsia" w:ascii="宋体" w:hAnsi="宋体" w:eastAsia="宋体" w:cs="宋体"/>
          <w:color w:val="auto"/>
          <w:sz w:val="21"/>
          <w:szCs w:val="21"/>
          <w:highlight w:val="none"/>
        </w:rPr>
        <w:t>。</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left="5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6.2.投标保证金提交的金额：人民币</w:t>
      </w:r>
      <w:r>
        <w:rPr>
          <w:rFonts w:hint="eastAsia" w:ascii="宋体" w:hAnsi="宋体" w:eastAsia="宋体" w:cs="宋体"/>
          <w:b/>
          <w:bCs/>
          <w:color w:val="auto"/>
          <w:sz w:val="21"/>
          <w:szCs w:val="21"/>
          <w:highlight w:val="none"/>
          <w:u w:val="single"/>
          <w:lang w:val="en-US" w:eastAsia="zh-CN"/>
        </w:rPr>
        <w:t>叁万伍仟</w:t>
      </w:r>
      <w:r>
        <w:rPr>
          <w:rFonts w:hint="eastAsia" w:ascii="宋体" w:hAnsi="宋体" w:eastAsia="宋体" w:cs="宋体"/>
          <w:color w:val="auto"/>
          <w:sz w:val="21"/>
          <w:szCs w:val="21"/>
          <w:highlight w:val="none"/>
        </w:rPr>
        <w:t>元（下同）。</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51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6.3.投标保证金提交的方式：</w:t>
      </w:r>
      <w:r>
        <w:rPr>
          <w:rFonts w:hint="eastAsia" w:ascii="宋体" w:hAnsi="宋体" w:eastAsia="宋体" w:cs="宋体"/>
          <w:color w:val="auto"/>
          <w:sz w:val="21"/>
          <w:szCs w:val="21"/>
          <w:highlight w:val="none"/>
          <w:u w:val="single"/>
        </w:rPr>
        <w:t>（1）采用现金形式：</w:t>
      </w:r>
      <w:r>
        <w:rPr>
          <w:rFonts w:hint="eastAsia" w:ascii="宋体" w:hAnsi="宋体" w:eastAsia="宋体" w:cs="宋体"/>
          <w:color w:val="auto"/>
          <w:sz w:val="21"/>
          <w:szCs w:val="21"/>
          <w:highlight w:val="none"/>
          <w:u w:val="single"/>
          <w:lang w:eastAsia="zh-CN"/>
        </w:rPr>
        <w:t>应在投标截止时间前一个工作日17:00前从投标人所在地银行的投标人企业基本账户以电汇或银行转账的形式</w:t>
      </w:r>
      <w:r>
        <w:rPr>
          <w:rFonts w:hint="eastAsia" w:ascii="宋体" w:hAnsi="宋体" w:eastAsia="宋体" w:cs="宋体"/>
          <w:color w:val="auto"/>
          <w:sz w:val="21"/>
          <w:szCs w:val="21"/>
          <w:highlight w:val="none"/>
          <w:u w:val="single"/>
        </w:rPr>
        <w:t>，汇到招标文件指定的投标保证金账户，并应在电汇或银行转账单上注明招标项目编号；或（2）采用年度投标保证金形式：①晋江市建筑企业可采用缴存年度投标保证金方式参与本项目投标（具体根据《晋江市人民政府关于印发晋江市促进建筑业发展壮大实施意见的通知》（晋政文〔2017〕278号文）规定执行）；②可采用泉州市工程建设项目年度投标保证金形式参与本项目投标（具体根据《泉州市住房和城乡建设局关于实行年度投标保证金制度的通知(试行)》泉建筑〔2019〕54号）规定执行）；或（3）电子保险保函形式：应在投标截止时间之前通过随行易交易电子招标投标交易平台在线申请购买。否则视为未按规定提交投标保证金，资格审查不合格</w:t>
      </w:r>
      <w:r>
        <w:rPr>
          <w:rFonts w:hint="eastAsia" w:ascii="宋体" w:hAnsi="宋体" w:eastAsia="宋体" w:cs="宋体"/>
          <w:color w:val="auto"/>
          <w:sz w:val="21"/>
          <w:szCs w:val="21"/>
          <w:highlight w:val="none"/>
        </w:rPr>
        <w:t>。</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投标文件的上传</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7.1投标文件递交的截止时间（开标时间）：</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19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分，投标人应在截止时间前通过</w:t>
      </w:r>
      <w:r>
        <w:rPr>
          <w:rFonts w:hint="eastAsia" w:ascii="宋体" w:hAnsi="宋体" w:eastAsia="宋体" w:cs="宋体"/>
          <w:color w:val="auto"/>
          <w:sz w:val="21"/>
          <w:szCs w:val="21"/>
          <w:highlight w:val="none"/>
          <w:u w:val="single"/>
        </w:rPr>
        <w:t>随行易交易公共资源交易平台（https://www.enjoy5191.com）</w:t>
      </w:r>
      <w:r>
        <w:rPr>
          <w:rFonts w:hint="eastAsia" w:ascii="宋体" w:hAnsi="宋体" w:eastAsia="宋体" w:cs="宋体"/>
          <w:color w:val="auto"/>
          <w:sz w:val="21"/>
          <w:szCs w:val="21"/>
          <w:highlight w:val="none"/>
        </w:rPr>
        <w:t>递交电子投标文件。</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7.2逾期递交电子投标文件的，电子招标投标交易平台将予以拒收。</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7.3本工程采用网上无纸化招投标，投标人须于投标截止时间前通过电子招标投标交易平台在线递交投标文件，投标文件以投标截止时间前通过网上上传的最后一份文件为准。投标人必须严格按照电子招标投标交易平台的操</w:t>
      </w:r>
      <w:r>
        <w:rPr>
          <w:rFonts w:hint="eastAsia" w:ascii="宋体" w:hAnsi="宋体" w:eastAsia="宋体" w:cs="宋体"/>
          <w:color w:val="auto"/>
          <w:spacing w:val="-6"/>
          <w:sz w:val="21"/>
          <w:szCs w:val="21"/>
          <w:highlight w:val="none"/>
        </w:rPr>
        <w:t>作规程编制电子投标文件并对其进行加密和上传，有关投标的操作规程详见电子招标投标交易平台的相关使用说明或电话咨询客服（联系电话：4008705191）。</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7.4电子投标文件解密：</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投标人应在开始解密时间起</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分钟内在线进行电子投标文件的解密操作，因投标人原因未在规定时间内解密，其投标视为无效。</w:t>
      </w:r>
    </w:p>
    <w:p>
      <w:pPr>
        <w:pStyle w:val="2"/>
        <w:rPr>
          <w:rFonts w:hint="eastAsia"/>
          <w:color w:val="auto"/>
          <w:highlight w:val="none"/>
        </w:rPr>
      </w:pP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发布公告的媒介</w:t>
      </w:r>
    </w:p>
    <w:p>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本次招标公告同时在</w:t>
      </w:r>
      <w:r>
        <w:rPr>
          <w:rFonts w:hint="eastAsia" w:ascii="宋体" w:hAnsi="宋体" w:eastAsia="宋体" w:cs="宋体"/>
          <w:color w:val="auto"/>
          <w:spacing w:val="6"/>
          <w:sz w:val="21"/>
          <w:szCs w:val="21"/>
          <w:highlight w:val="none"/>
          <w:u w:val="single"/>
          <w:lang w:eastAsia="zh-CN"/>
        </w:rPr>
        <w:t>晋江市人民政府青阳街道办事处和福建省泉州市晋江市青阳街道莲屿社区居民委员会</w:t>
      </w:r>
      <w:r>
        <w:rPr>
          <w:rFonts w:hint="eastAsia" w:ascii="宋体" w:hAnsi="宋体" w:eastAsia="宋体" w:cs="宋体"/>
          <w:color w:val="auto"/>
          <w:spacing w:val="6"/>
          <w:sz w:val="21"/>
          <w:szCs w:val="21"/>
          <w:highlight w:val="none"/>
          <w:u w:val="single"/>
          <w:lang w:val="en-US" w:eastAsia="zh-CN"/>
        </w:rPr>
        <w:t>公开栏、</w:t>
      </w:r>
      <w:r>
        <w:rPr>
          <w:rFonts w:hint="eastAsia" w:ascii="宋体" w:hAnsi="宋体" w:eastAsia="宋体" w:cs="宋体"/>
          <w:color w:val="auto"/>
          <w:spacing w:val="6"/>
          <w:sz w:val="21"/>
          <w:szCs w:val="21"/>
          <w:highlight w:val="none"/>
          <w:u w:val="single"/>
          <w:lang w:eastAsia="zh-CN"/>
        </w:rPr>
        <w:t>晋江市政务网</w:t>
      </w:r>
      <w:r>
        <w:rPr>
          <w:rFonts w:hint="eastAsia" w:ascii="宋体" w:hAnsi="宋体" w:eastAsia="宋体" w:cs="宋体"/>
          <w:color w:val="auto"/>
          <w:sz w:val="21"/>
          <w:szCs w:val="21"/>
          <w:highlight w:val="none"/>
          <w:u w:val="single"/>
          <w:lang w:eastAsia="zh-CN"/>
        </w:rPr>
        <w:t>（http://www.jinjiang.gov.cn）、随行易交易公共资源交易平台（https://www.enjoy5191.com）</w:t>
      </w:r>
      <w:r>
        <w:rPr>
          <w:rFonts w:hint="eastAsia" w:ascii="宋体" w:hAnsi="宋体" w:eastAsia="宋体" w:cs="宋体"/>
          <w:color w:val="auto"/>
          <w:sz w:val="21"/>
          <w:szCs w:val="21"/>
          <w:highlight w:val="none"/>
        </w:rPr>
        <w:t>上发布。</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440" w:lineRule="atLeas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联系方式</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371" w:firstLineChars="177"/>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u w:val="single"/>
          <w:lang w:eastAsia="zh-CN"/>
        </w:rPr>
        <w:t>福建省泉州市晋江市青阳街道莲屿社区居民委员会</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371" w:firstLineChars="177"/>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法定代表人或项目负责人：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371" w:firstLineChars="177"/>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晋江市青阳街道莲屿社区</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371" w:firstLineChars="177"/>
        <w:textAlignment w:val="baseline"/>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val="en-US" w:eastAsia="zh-CN"/>
        </w:rPr>
        <w:t xml:space="preserve">  13905989656   </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371" w:firstLineChars="177"/>
        <w:textAlignment w:val="baseline"/>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 xml:space="preserve">  庄先生    </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371" w:firstLineChars="177"/>
        <w:textAlignment w:val="baseline"/>
        <w:rPr>
          <w:rFonts w:hint="eastAsia" w:ascii="宋体" w:hAnsi="宋体" w:eastAsia="宋体" w:cs="宋体"/>
          <w:color w:val="auto"/>
          <w:szCs w:val="21"/>
          <w:highlight w:val="none"/>
        </w:rPr>
      </w:pP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Chars="200"/>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u w:val="single"/>
          <w:lang w:eastAsia="zh-CN"/>
        </w:rPr>
        <w:t>晋江广昇项目管理有限公司</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Chars="200"/>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法定代表人或项目负责人：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pStyle w:val="5"/>
        <w:keepNext w:val="0"/>
        <w:keepLines w:val="0"/>
        <w:pageBreakBefore w:val="0"/>
        <w:widowControl w:val="0"/>
        <w:kinsoku/>
        <w:wordWrap/>
        <w:overflowPunct/>
        <w:topLinePunct w:val="0"/>
        <w:autoSpaceDE/>
        <w:autoSpaceDN/>
        <w:bidi w:val="0"/>
        <w:adjustRightInd w:val="0"/>
        <w:spacing w:line="440" w:lineRule="atLeast"/>
        <w:textAlignment w:val="baseline"/>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晋江市梅岭街道桂山社区梅山新天地E3号</w:t>
      </w:r>
    </w:p>
    <w:p>
      <w:pPr>
        <w:pStyle w:val="5"/>
        <w:keepNext w:val="0"/>
        <w:keepLines w:val="0"/>
        <w:pageBreakBefore w:val="0"/>
        <w:widowControl w:val="0"/>
        <w:kinsoku/>
        <w:wordWrap/>
        <w:overflowPunct/>
        <w:topLinePunct w:val="0"/>
        <w:autoSpaceDE/>
        <w:autoSpaceDN/>
        <w:bidi w:val="0"/>
        <w:adjustRightInd w:val="0"/>
        <w:spacing w:line="440" w:lineRule="atLeast"/>
        <w:textAlignment w:val="baseline"/>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eastAsia="zh-CN"/>
        </w:rPr>
        <w:t>19959687337</w:t>
      </w:r>
    </w:p>
    <w:p>
      <w:pPr>
        <w:pStyle w:val="5"/>
        <w:keepNext w:val="0"/>
        <w:keepLines w:val="0"/>
        <w:pageBreakBefore w:val="0"/>
        <w:widowControl w:val="0"/>
        <w:kinsoku/>
        <w:wordWrap/>
        <w:overflowPunct/>
        <w:topLinePunct w:val="0"/>
        <w:autoSpaceDE/>
        <w:autoSpaceDN/>
        <w:bidi w:val="0"/>
        <w:adjustRightInd w:val="0"/>
        <w:spacing w:line="440" w:lineRule="atLeas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eastAsia="zh-CN"/>
        </w:rPr>
        <w:t>小朱</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Chars="200"/>
        <w:textAlignment w:val="baseline"/>
        <w:rPr>
          <w:rFonts w:hint="eastAsia" w:ascii="宋体" w:hAnsi="宋体" w:eastAsia="宋体" w:cs="宋体"/>
          <w:color w:val="auto"/>
          <w:szCs w:val="21"/>
          <w:highlight w:val="none"/>
        </w:rPr>
      </w:pPr>
    </w:p>
    <w:p>
      <w:pPr>
        <w:pStyle w:val="5"/>
        <w:keepNext w:val="0"/>
        <w:keepLines w:val="0"/>
        <w:pageBreakBefore w:val="0"/>
        <w:widowControl w:val="0"/>
        <w:kinsoku/>
        <w:wordWrap/>
        <w:overflowPunct/>
        <w:topLinePunct w:val="0"/>
        <w:autoSpaceDE/>
        <w:autoSpaceDN/>
        <w:bidi w:val="0"/>
        <w:adjustRightInd w:val="0"/>
        <w:snapToGrid w:val="0"/>
        <w:spacing w:line="440" w:lineRule="atLeast"/>
        <w:ind w:right="420" w:firstLineChars="200"/>
        <w:jc w:val="left"/>
        <w:textAlignment w:val="baseline"/>
        <w:rPr>
          <w:rFonts w:hint="eastAsia" w:ascii="宋体" w:hAnsi="宋体" w:eastAsia="宋体" w:cs="宋体"/>
          <w:color w:val="auto"/>
          <w:szCs w:val="21"/>
          <w:highlight w:val="none"/>
          <w:u w:val="single"/>
          <w:lang w:bidi="zh-CN"/>
        </w:rPr>
      </w:pPr>
      <w:r>
        <w:rPr>
          <w:rFonts w:hint="eastAsia" w:ascii="宋体" w:hAnsi="宋体" w:eastAsia="宋体" w:cs="宋体"/>
          <w:color w:val="auto"/>
          <w:szCs w:val="21"/>
          <w:highlight w:val="none"/>
          <w:lang w:bidi="zh-CN"/>
        </w:rPr>
        <w:t>公共资源电子交易平台名称：</w:t>
      </w:r>
      <w:r>
        <w:rPr>
          <w:rFonts w:hint="eastAsia" w:ascii="宋体" w:hAnsi="宋体" w:eastAsia="宋体" w:cs="宋体"/>
          <w:color w:val="auto"/>
          <w:szCs w:val="21"/>
          <w:highlight w:val="none"/>
          <w:u w:val="single"/>
          <w:lang w:bidi="zh-CN"/>
        </w:rPr>
        <w:t>易交易电子招标投标交易平台</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Chars="200"/>
        <w:jc w:val="left"/>
        <w:textAlignment w:val="baseline"/>
        <w:rPr>
          <w:rFonts w:hint="eastAsia"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网址：</w:t>
      </w:r>
      <w:r>
        <w:rPr>
          <w:rFonts w:hint="eastAsia" w:ascii="宋体" w:hAnsi="宋体" w:eastAsia="宋体" w:cs="宋体"/>
          <w:color w:val="auto"/>
          <w:szCs w:val="21"/>
          <w:highlight w:val="none"/>
          <w:u w:val="single"/>
          <w:lang w:bidi="zh-CN"/>
        </w:rPr>
        <w:t>https://www.enjoy5191.com/</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firstLineChars="200"/>
        <w:jc w:val="left"/>
        <w:textAlignment w:val="baseline"/>
        <w:rPr>
          <w:rFonts w:hint="eastAsia"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联系电话：</w:t>
      </w:r>
      <w:r>
        <w:rPr>
          <w:rFonts w:hint="eastAsia" w:ascii="宋体" w:hAnsi="宋体" w:eastAsia="宋体" w:cs="宋体"/>
          <w:color w:val="auto"/>
          <w:szCs w:val="21"/>
          <w:highlight w:val="none"/>
          <w:u w:val="single"/>
          <w:lang w:bidi="zh-CN"/>
        </w:rPr>
        <w:t xml:space="preserve"> 4008705191</w:t>
      </w:r>
    </w:p>
    <w:p>
      <w:pPr>
        <w:keepNext w:val="0"/>
        <w:keepLines w:val="0"/>
        <w:pageBreakBefore w:val="0"/>
        <w:widowControl w:val="0"/>
        <w:kinsoku/>
        <w:wordWrap/>
        <w:overflowPunct/>
        <w:topLinePunct w:val="0"/>
        <w:autoSpaceDE/>
        <w:autoSpaceDN/>
        <w:bidi w:val="0"/>
        <w:adjustRightInd w:val="0"/>
        <w:spacing w:line="440" w:lineRule="atLeast"/>
        <w:textAlignment w:val="baseline"/>
        <w:rPr>
          <w:rFonts w:hint="eastAsia" w:ascii="宋体" w:hAnsi="宋体" w:eastAsia="宋体" w:cs="宋体"/>
          <w:color w:val="auto"/>
          <w:sz w:val="21"/>
          <w:szCs w:val="21"/>
          <w:highlight w:val="none"/>
        </w:rPr>
      </w:pPr>
    </w:p>
    <w:p>
      <w:pPr>
        <w:pStyle w:val="5"/>
        <w:keepNext w:val="0"/>
        <w:keepLines w:val="0"/>
        <w:pageBreakBefore w:val="0"/>
        <w:widowControl w:val="0"/>
        <w:kinsoku/>
        <w:wordWrap/>
        <w:overflowPunct/>
        <w:topLinePunct w:val="0"/>
        <w:autoSpaceDE/>
        <w:autoSpaceDN/>
        <w:bidi w:val="0"/>
        <w:adjustRightInd w:val="0"/>
        <w:snapToGrid w:val="0"/>
        <w:spacing w:line="440" w:lineRule="atLeast"/>
        <w:ind w:right="420" w:firstLineChars="200"/>
        <w:jc w:val="left"/>
        <w:textAlignment w:val="baseline"/>
        <w:rPr>
          <w:rFonts w:hint="eastAsia"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监</w:t>
      </w:r>
      <w:r>
        <w:rPr>
          <w:rFonts w:hint="eastAsia" w:ascii="宋体" w:hAnsi="宋体" w:eastAsia="宋体" w:cs="宋体"/>
          <w:color w:val="auto"/>
          <w:szCs w:val="21"/>
          <w:highlight w:val="none"/>
          <w:lang w:eastAsia="zh-CN" w:bidi="zh-CN"/>
        </w:rPr>
        <w:t>管</w:t>
      </w:r>
      <w:r>
        <w:rPr>
          <w:rFonts w:hint="eastAsia" w:ascii="宋体" w:hAnsi="宋体" w:eastAsia="宋体" w:cs="宋体"/>
          <w:color w:val="auto"/>
          <w:szCs w:val="21"/>
          <w:highlight w:val="none"/>
          <w:lang w:bidi="zh-CN"/>
        </w:rPr>
        <w:t>部门：</w:t>
      </w:r>
      <w:r>
        <w:rPr>
          <w:rFonts w:hint="eastAsia" w:ascii="宋体" w:hAnsi="宋体" w:eastAsia="宋体" w:cs="宋体"/>
          <w:color w:val="auto"/>
          <w:szCs w:val="21"/>
          <w:highlight w:val="none"/>
          <w:u w:val="single"/>
          <w:lang w:val="en-US" w:eastAsia="zh-CN" w:bidi="zh-CN"/>
        </w:rPr>
        <w:t>晋江市人民政府青阳街道办事处纪委办</w:t>
      </w:r>
    </w:p>
    <w:p>
      <w:pPr>
        <w:pStyle w:val="5"/>
        <w:keepNext w:val="0"/>
        <w:keepLines w:val="0"/>
        <w:pageBreakBefore w:val="0"/>
        <w:widowControl w:val="0"/>
        <w:kinsoku/>
        <w:wordWrap/>
        <w:overflowPunct/>
        <w:topLinePunct w:val="0"/>
        <w:autoSpaceDE/>
        <w:autoSpaceDN/>
        <w:bidi w:val="0"/>
        <w:adjustRightInd w:val="0"/>
        <w:snapToGrid w:val="0"/>
        <w:spacing w:line="440" w:lineRule="atLeast"/>
        <w:ind w:right="420" w:firstLineChars="200"/>
        <w:jc w:val="left"/>
        <w:textAlignment w:val="baseline"/>
        <w:rPr>
          <w:rFonts w:hint="eastAsia" w:ascii="宋体" w:hAnsi="宋体" w:eastAsia="宋体" w:cs="宋体"/>
          <w:color w:val="auto"/>
          <w:szCs w:val="21"/>
          <w:highlight w:val="none"/>
          <w:lang w:val="en-US" w:eastAsia="zh-CN" w:bidi="zh-CN"/>
        </w:rPr>
      </w:pPr>
      <w:r>
        <w:rPr>
          <w:rFonts w:hint="eastAsia" w:ascii="宋体" w:hAnsi="宋体" w:eastAsia="宋体" w:cs="宋体"/>
          <w:color w:val="auto"/>
          <w:szCs w:val="21"/>
          <w:highlight w:val="none"/>
          <w:lang w:val="en-US" w:eastAsia="zh-CN" w:bidi="zh-CN"/>
        </w:rPr>
        <w:t>地    址：</w:t>
      </w:r>
      <w:r>
        <w:rPr>
          <w:rFonts w:hint="eastAsia" w:ascii="宋体" w:hAnsi="宋体" w:eastAsia="宋体" w:cs="宋体"/>
          <w:color w:val="auto"/>
          <w:szCs w:val="21"/>
          <w:highlight w:val="none"/>
          <w:u w:val="single"/>
          <w:lang w:val="en-US" w:eastAsia="zh-CN" w:bidi="zh-CN"/>
        </w:rPr>
        <w:t>晋江市人民政府青阳街道办事处</w:t>
      </w:r>
    </w:p>
    <w:p/>
    <w:sectPr>
      <w:pgSz w:w="11906" w:h="16838"/>
      <w:pgMar w:top="10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b/>
        <w:bCs/>
        <w:i w:val="0"/>
        <w:sz w:val="24"/>
      </w:rPr>
    </w:lvl>
    <w:lvl w:ilvl="1" w:tentative="0">
      <w:start w:val="1"/>
      <w:numFmt w:val="decimal"/>
      <w:lvlText w:val="%1.%2."/>
      <w:lvlJc w:val="left"/>
      <w:pPr>
        <w:tabs>
          <w:tab w:val="left" w:pos="510"/>
        </w:tabs>
        <w:ind w:left="0" w:firstLine="510"/>
      </w:pPr>
      <w:rPr>
        <w:rFonts w:hint="eastAsia" w:ascii="宋体" w:hAnsi="宋体" w:eastAsia="宋体"/>
        <w:i w:val="0"/>
        <w:strike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4"/>
      <w:suff w:val="space"/>
      <w:lvlText w:val="第%2节"/>
      <w:lvlJc w:val="left"/>
      <w:pPr>
        <w:tabs>
          <w:tab w:val="left" w:pos="2637"/>
        </w:tabs>
        <w:ind w:left="2637"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MGViOTFiZjdkMjg0OTczMWE3YjBhYjIyZmY4MTcifQ=="/>
  </w:docVars>
  <w:rsids>
    <w:rsidRoot w:val="098D33D9"/>
    <w:rsid w:val="098D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0"/>
        <w:tab w:val="left" w:pos="993"/>
        <w:tab w:val="left" w:pos="1134"/>
      </w:tabs>
      <w:spacing w:after="0" w:afterLines="0" w:line="360" w:lineRule="auto"/>
      <w:ind w:left="0" w:leftChars="0" w:firstLine="420" w:firstLineChars="200"/>
    </w:pPr>
    <w:rPr>
      <w:rFonts w:ascii="宋体" w:hAnsi="宋体" w:cs="宋体"/>
      <w:sz w:val="28"/>
      <w:szCs w:val="28"/>
    </w:r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next w:val="6"/>
    <w:qFormat/>
    <w:uiPriority w:val="0"/>
    <w:pPr>
      <w:ind w:firstLine="420"/>
    </w:pPr>
    <w:rPr>
      <w:kern w:val="2"/>
      <w:sz w:val="21"/>
    </w:rPr>
  </w:style>
  <w:style w:type="paragraph" w:styleId="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2023-06-05T02:13:00Z</dcterms:created>
  <dc:creator>Lisa Zhu</dc:creator>
  <cp:lastModifiedBy>Lisa Zhu</cp:lastModifiedBy>
  <dcterms:modified xsi:type="dcterms:W3CDTF">2023-06-05T02:15:05Z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36CCC6F986B3421E91E1AA6FB5439486_11</vt:lpwstr>
  </property>
</Properties>
</file>