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7E" w:rsidRDefault="00A24B0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晋江市</w:t>
      </w:r>
      <w:r w:rsidR="00F45260">
        <w:rPr>
          <w:rFonts w:ascii="方正小标宋_GBK" w:eastAsia="方正小标宋_GBK" w:hAnsi="方正小标宋_GBK" w:cs="方正小标宋_GBK" w:hint="eastAsia"/>
          <w:sz w:val="44"/>
          <w:szCs w:val="44"/>
        </w:rPr>
        <w:t>青阳街道</w:t>
      </w:r>
      <w:r w:rsidR="00F45260"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 w:rsidR="00F45260">
        <w:rPr>
          <w:rFonts w:ascii="方正小标宋_GBK" w:eastAsia="方正小标宋_GBK" w:hAnsi="方正小标宋_GBK" w:cs="方正小标宋_GBK" w:hint="eastAsia"/>
          <w:sz w:val="44"/>
          <w:szCs w:val="44"/>
        </w:rPr>
        <w:t>年法治政府建设情况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报告</w:t>
      </w:r>
    </w:p>
    <w:p w:rsidR="0057547E" w:rsidRDefault="005754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547E" w:rsidRDefault="00F452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过去一年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，青阳街道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各级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建设的决策部署，较好完成法治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建设各项工作任务，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法治政府建设工作取得一定成效，现将有关情况汇报如下：</w:t>
      </w:r>
    </w:p>
    <w:p w:rsidR="0057547E" w:rsidRDefault="00F452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强化</w:t>
      </w:r>
      <w:r>
        <w:rPr>
          <w:rFonts w:ascii="黑体" w:eastAsia="黑体" w:hAnsi="黑体" w:cs="黑体" w:hint="eastAsia"/>
          <w:sz w:val="32"/>
          <w:szCs w:val="32"/>
        </w:rPr>
        <w:t>组织领导。</w:t>
      </w:r>
      <w:r>
        <w:rPr>
          <w:rFonts w:ascii="楷体_GB2312" w:eastAsia="楷体_GB2312" w:hAnsi="楷体_GB2312" w:cs="楷体_GB2312" w:hint="eastAsia"/>
          <w:sz w:val="32"/>
          <w:szCs w:val="32"/>
        </w:rPr>
        <w:t>一是加强党对法治政府建设的领导。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推动法治政府建设与经济社会发展同部署、同推进。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坚持党政主要负责人为履行推进法治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建设第一责任人，每季度听取一次法治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建设工作情况汇报，确保法治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在各部门、各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真正落到实处。同时，将法治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建设成效作为衡量各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工作实绩的重要内容，纳入年度考核指标体系。</w:t>
      </w:r>
      <w:r>
        <w:rPr>
          <w:rFonts w:ascii="楷体_GB2312" w:eastAsia="楷体_GB2312" w:hAnsi="楷体_GB2312" w:cs="楷体_GB2312" w:hint="eastAsia"/>
          <w:sz w:val="32"/>
          <w:szCs w:val="32"/>
        </w:rPr>
        <w:t>二是</w:t>
      </w:r>
      <w:r>
        <w:rPr>
          <w:rFonts w:ascii="楷体_GB2312" w:eastAsia="楷体_GB2312" w:hAnsi="楷体_GB2312" w:cs="楷体_GB2312" w:hint="eastAsia"/>
          <w:sz w:val="32"/>
          <w:szCs w:val="32"/>
        </w:rPr>
        <w:t>抓好干部</w:t>
      </w:r>
      <w:r>
        <w:rPr>
          <w:rFonts w:ascii="楷体_GB2312" w:eastAsia="楷体_GB2312" w:hAnsi="楷体_GB2312" w:cs="楷体_GB2312" w:hint="eastAsia"/>
          <w:sz w:val="32"/>
          <w:szCs w:val="32"/>
        </w:rPr>
        <w:t>队伍</w:t>
      </w:r>
      <w:r>
        <w:rPr>
          <w:rFonts w:ascii="楷体_GB2312" w:eastAsia="楷体_GB2312" w:hAnsi="楷体_GB2312" w:cs="楷体_GB2312" w:hint="eastAsia"/>
          <w:sz w:val="32"/>
          <w:szCs w:val="32"/>
        </w:rPr>
        <w:t>法治教育。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深入学习贯彻习近平法治思想，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领导班子带头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法律法规，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党工委中心组集中学习《中华人民共和国</w:t>
      </w:r>
      <w:r>
        <w:rPr>
          <w:rFonts w:ascii="仿宋_GB2312" w:eastAsia="仿宋_GB2312" w:hAnsi="仿宋_GB2312" w:cs="仿宋_GB2312"/>
          <w:sz w:val="32"/>
          <w:szCs w:val="32"/>
        </w:rPr>
        <w:t>反有组织犯罪法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》《中华人民共和国禁毒法》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《福建省禁毒条例》等法治课程。根据街道年度法治政府建设工作计划，</w:t>
      </w:r>
      <w:r>
        <w:rPr>
          <w:rFonts w:ascii="仿宋_GB2312" w:eastAsia="仿宋_GB2312" w:hAnsi="仿宋_GB2312" w:cs="仿宋_GB2312" w:hint="eastAsia"/>
          <w:sz w:val="32"/>
          <w:szCs w:val="32"/>
        </w:rPr>
        <w:t>先后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次邀请专家学者给全体机关干部职工讲解《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</w:t>
      </w:r>
      <w:r>
        <w:rPr>
          <w:rFonts w:ascii="仿宋_GB2312" w:eastAsia="仿宋_GB2312" w:hAnsi="仿宋_GB2312" w:cs="仿宋_GB2312" w:hint="eastAsia"/>
          <w:sz w:val="32"/>
          <w:szCs w:val="32"/>
        </w:rPr>
        <w:t>民法典》和《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中华人民共和国劳动争议调解仲裁法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》等相关课程。同时依托“青阳在线”等网络平台推送有关法律法规，提升机关干部法治素养。</w:t>
      </w:r>
    </w:p>
    <w:p w:rsidR="0057547E" w:rsidRDefault="00F452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二、加强依法执政。</w:t>
      </w:r>
      <w:r>
        <w:rPr>
          <w:rFonts w:ascii="楷体_GB2312" w:eastAsia="楷体_GB2312" w:hAnsi="楷体_GB2312" w:cs="楷体_GB2312" w:hint="eastAsia"/>
          <w:sz w:val="32"/>
          <w:szCs w:val="32"/>
        </w:rPr>
        <w:t>一是健全行政执法体制机制。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规范和加强行政执法工作，加强行政执法体系建设。建立执</w:t>
      </w:r>
      <w:r>
        <w:rPr>
          <w:rFonts w:ascii="仿宋_GB2312" w:eastAsia="仿宋_GB2312" w:hAnsi="仿宋_GB2312" w:cs="仿宋_GB2312" w:hint="eastAsia"/>
          <w:sz w:val="32"/>
          <w:szCs w:val="32"/>
        </w:rPr>
        <w:t>法全过程记录制度，制定行政执法程序规范，明确具体操作流程，重点规范行政处罚、行政强制、行政检查等执法行为。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>督促领导班子成员依法办事，严格落实领导干部不得干预司法活动、插手具体案件制度。</w:t>
      </w:r>
      <w:r>
        <w:rPr>
          <w:rFonts w:ascii="楷体_GB2312" w:eastAsia="楷体_GB2312" w:hAnsi="楷体_GB2312" w:cs="楷体_GB2312" w:hint="eastAsia"/>
          <w:sz w:val="32"/>
          <w:szCs w:val="32"/>
        </w:rPr>
        <w:t>二是推进政务公开。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深入贯彻落实《政府信息公开条例》，实行政务公开清单管理制度，将财政预算、重大项目审批等</w:t>
      </w:r>
      <w:r>
        <w:rPr>
          <w:rFonts w:ascii="仿宋_GB2312" w:eastAsia="仿宋_GB2312" w:hAnsi="仿宋_GB2312" w:cs="仿宋_GB2312" w:hint="eastAsia"/>
          <w:sz w:val="32"/>
          <w:szCs w:val="32"/>
        </w:rPr>
        <w:t>群众</w:t>
      </w:r>
      <w:r>
        <w:rPr>
          <w:rFonts w:ascii="仿宋_GB2312" w:eastAsia="仿宋_GB2312" w:hAnsi="仿宋_GB2312" w:cs="仿宋_GB2312" w:hint="eastAsia"/>
          <w:sz w:val="32"/>
          <w:szCs w:val="32"/>
        </w:rPr>
        <w:t>密切关注的热点问题，通过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及时予以公开。</w:t>
      </w:r>
    </w:p>
    <w:p w:rsidR="0057547E" w:rsidRDefault="00F452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三、开展法治宣传。</w:t>
      </w:r>
      <w:r>
        <w:rPr>
          <w:rFonts w:ascii="楷体_GB2312" w:eastAsia="楷体_GB2312" w:hAnsi="楷体_GB2312" w:cs="楷体_GB2312" w:hint="eastAsia"/>
          <w:sz w:val="32"/>
          <w:szCs w:val="32"/>
        </w:rPr>
        <w:t>一是积极开展法律“八进”活动。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年开展普法“进社区”活动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场次，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《中华人民共和国禁毒法》《中华人民共和国道路交通安全法》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《中华人民共和国法</w:t>
      </w:r>
      <w:r>
        <w:rPr>
          <w:rFonts w:ascii="仿宋_GB2312" w:eastAsia="仿宋_GB2312" w:hAnsi="仿宋_GB2312" w:cs="仿宋_GB2312" w:hint="eastAsia"/>
          <w:sz w:val="32"/>
          <w:szCs w:val="32"/>
        </w:rPr>
        <w:t>律援助法》等内容。通过网络平台开展网上学法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次，学习内容分别为《中华人民共和国人民调解法》和“纪念现行宪法公布施行四十周年宪法宣讲”。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日、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日分别在中和小学、普贤小学开展“学宪法、讲宪法”比赛活动和“学习宣传贯彻党的二十大精神，推动全面贯彻实施宪法”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普法进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校园活动。深入企业开展普法宣传活动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场次。</w:t>
      </w:r>
      <w:r>
        <w:rPr>
          <w:rFonts w:ascii="楷体_GB2312" w:eastAsia="楷体_GB2312" w:hAnsi="楷体_GB2312" w:cs="楷体_GB2312" w:hint="eastAsia"/>
          <w:sz w:val="32"/>
          <w:szCs w:val="32"/>
        </w:rPr>
        <w:t>二是</w:t>
      </w:r>
      <w:r>
        <w:rPr>
          <w:rFonts w:ascii="楷体_GB2312" w:eastAsia="楷体_GB2312" w:hAnsi="楷体_GB2312" w:cs="楷体_GB2312" w:hint="eastAsia"/>
          <w:sz w:val="32"/>
          <w:szCs w:val="32"/>
        </w:rPr>
        <w:t>加强法治宣传基层建设。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深入开展“法律明白人”培养工作，按工作要求做好人员培训。深入各社区对法制宣传阵地进行查缺补漏，完善各社区法治宣传阵地。</w:t>
      </w:r>
    </w:p>
    <w:p w:rsidR="0057547E" w:rsidRDefault="00F452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四、推进调解工作。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坚持开展新时代“枫桥经验”活动，就地化解矛盾纠纷。现街道及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个社区全部成立调委会，较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年增加评理人员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153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个行业调委会，特别是为适应</w:t>
      </w:r>
      <w:r>
        <w:rPr>
          <w:rFonts w:ascii="仿宋_GB2312" w:eastAsia="仿宋_GB2312" w:hAnsi="仿宋_GB2312" w:cs="仿宋_GB2312" w:hint="eastAsia"/>
          <w:sz w:val="32"/>
          <w:szCs w:val="32"/>
        </w:rPr>
        <w:t>夜间经济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发展需要，创新成立阳光夜市调委会，常态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化设置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调解队伍，有效化解阳光夜市各类摊贩纠纷、消费纠纷，将矛盾纠纷化解在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基层。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年累计</w:t>
      </w:r>
      <w:r>
        <w:rPr>
          <w:rFonts w:ascii="仿宋_GB2312" w:eastAsia="仿宋_GB2312" w:hAnsi="仿宋_GB2312" w:cs="仿宋_GB2312" w:hint="eastAsia"/>
          <w:sz w:val="32"/>
          <w:szCs w:val="32"/>
        </w:rPr>
        <w:t>调解矛盾纠纷</w:t>
      </w:r>
      <w:r>
        <w:rPr>
          <w:rFonts w:ascii="仿宋_GB2312" w:eastAsia="仿宋_GB2312" w:hAnsi="仿宋_GB2312" w:cs="仿宋_GB2312" w:hint="eastAsia"/>
          <w:sz w:val="32"/>
          <w:szCs w:val="32"/>
        </w:rPr>
        <w:t>183</w:t>
      </w:r>
      <w:r>
        <w:rPr>
          <w:rFonts w:ascii="仿宋_GB2312" w:eastAsia="仿宋_GB2312" w:hAnsi="仿宋_GB2312" w:cs="仿宋_GB2312" w:hint="eastAsia"/>
          <w:sz w:val="32"/>
          <w:szCs w:val="32"/>
        </w:rPr>
        <w:t>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其中书面调解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起、口头调解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57547E" w:rsidSect="0057547E">
      <w:footerReference w:type="default" r:id="rId6"/>
      <w:pgSz w:w="12240" w:h="15840"/>
      <w:pgMar w:top="2098" w:right="1474" w:bottom="1984" w:left="158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60" w:rsidRDefault="00F45260" w:rsidP="0057547E">
      <w:r>
        <w:separator/>
      </w:r>
    </w:p>
  </w:endnote>
  <w:endnote w:type="continuationSeparator" w:id="0">
    <w:p w:rsidR="00F45260" w:rsidRDefault="00F45260" w:rsidP="0057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7E" w:rsidRDefault="00F45260">
    <w:pPr>
      <w:jc w:val="center"/>
    </w:pPr>
    <w:r>
      <w:rPr>
        <w:rFonts w:ascii="宋体" w:hAnsi="宋体" w:cs="宋体"/>
      </w:rPr>
      <w:t>第</w:t>
    </w:r>
    <w:r>
      <w:rPr>
        <w:rFonts w:ascii="宋体" w:hAnsi="宋体" w:cs="宋体"/>
      </w:rPr>
      <w:t xml:space="preserve"> </w:t>
    </w:r>
    <w:r w:rsidR="0057547E">
      <w:rPr>
        <w:rFonts w:ascii="宋体" w:hAnsi="宋体" w:cs="宋体"/>
      </w:rPr>
      <w:fldChar w:fldCharType="begin"/>
    </w:r>
    <w:r>
      <w:rPr>
        <w:rFonts w:ascii="宋体" w:hAnsi="宋体" w:cs="宋体"/>
      </w:rPr>
      <w:instrText>PAGE</w:instrText>
    </w:r>
    <w:r w:rsidR="00A24B0C">
      <w:rPr>
        <w:rFonts w:ascii="宋体" w:hAnsi="宋体" w:cs="宋体"/>
      </w:rPr>
      <w:fldChar w:fldCharType="separate"/>
    </w:r>
    <w:r w:rsidR="00A24B0C">
      <w:rPr>
        <w:rFonts w:ascii="宋体" w:hAnsi="宋体" w:cs="宋体"/>
        <w:noProof/>
      </w:rPr>
      <w:t>1</w:t>
    </w:r>
    <w:r w:rsidR="0057547E">
      <w:rPr>
        <w:rFonts w:ascii="宋体" w:hAnsi="宋体" w:cs="宋体"/>
      </w:rPr>
      <w:fldChar w:fldCharType="end"/>
    </w:r>
    <w:r>
      <w:rPr>
        <w:rFonts w:ascii="宋体" w:hAnsi="宋体" w:cs="宋体"/>
      </w:rPr>
      <w:t xml:space="preserve"> </w:t>
    </w:r>
    <w:r>
      <w:rPr>
        <w:rFonts w:ascii="宋体" w:hAnsi="宋体" w:cs="宋体"/>
      </w:rPr>
      <w:t>页</w:t>
    </w:r>
    <w:r>
      <w:rPr>
        <w:rFonts w:ascii="宋体" w:hAnsi="宋体" w:cs="宋体"/>
      </w:rPr>
      <w:t xml:space="preserve"> </w:t>
    </w:r>
    <w:r>
      <w:rPr>
        <w:rFonts w:ascii="宋体" w:hAnsi="宋体" w:cs="宋体"/>
      </w:rPr>
      <w:t>共</w:t>
    </w:r>
    <w:r>
      <w:rPr>
        <w:rFonts w:ascii="宋体" w:hAnsi="宋体" w:cs="宋体"/>
      </w:rPr>
      <w:t xml:space="preserve"> </w:t>
    </w:r>
    <w:r w:rsidR="0057547E">
      <w:rPr>
        <w:rFonts w:ascii="宋体" w:hAnsi="宋体" w:cs="宋体"/>
      </w:rPr>
      <w:fldChar w:fldCharType="begin"/>
    </w:r>
    <w:r>
      <w:rPr>
        <w:rFonts w:ascii="宋体" w:hAnsi="宋体" w:cs="宋体"/>
      </w:rPr>
      <w:instrText>N</w:instrText>
    </w:r>
    <w:r>
      <w:rPr>
        <w:rFonts w:ascii="宋体" w:hAnsi="宋体" w:cs="宋体"/>
      </w:rPr>
      <w:instrText>UMPAGES</w:instrText>
    </w:r>
    <w:r w:rsidR="00A24B0C">
      <w:rPr>
        <w:rFonts w:ascii="宋体" w:hAnsi="宋体" w:cs="宋体"/>
      </w:rPr>
      <w:fldChar w:fldCharType="separate"/>
    </w:r>
    <w:r w:rsidR="00A24B0C">
      <w:rPr>
        <w:rFonts w:ascii="宋体" w:hAnsi="宋体" w:cs="宋体"/>
        <w:noProof/>
      </w:rPr>
      <w:t>3</w:t>
    </w:r>
    <w:r w:rsidR="0057547E">
      <w:rPr>
        <w:rFonts w:ascii="宋体" w:hAnsi="宋体" w:cs="宋体"/>
      </w:rPr>
      <w:fldChar w:fldCharType="end"/>
    </w:r>
    <w:r>
      <w:rPr>
        <w:rFonts w:ascii="宋体" w:hAnsi="宋体" w:cs="宋体"/>
      </w:rPr>
      <w:t xml:space="preserve"> </w:t>
    </w:r>
    <w:r>
      <w:rPr>
        <w:rFonts w:ascii="宋体" w:hAnsi="宋体" w:cs="宋体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60" w:rsidRDefault="00F45260" w:rsidP="0057547E">
      <w:r>
        <w:separator/>
      </w:r>
    </w:p>
  </w:footnote>
  <w:footnote w:type="continuationSeparator" w:id="0">
    <w:p w:rsidR="00F45260" w:rsidRDefault="00F45260" w:rsidP="00575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MjFmYmQ2ODgyNTAwYjI5NWE4ZDYyODI2NTAwYTdlYTgifQ=="/>
  </w:docVars>
  <w:rsids>
    <w:rsidRoot w:val="00A77B3E"/>
    <w:rsid w:val="0057547E"/>
    <w:rsid w:val="00A24B0C"/>
    <w:rsid w:val="00A77B3E"/>
    <w:rsid w:val="00EB2EB7"/>
    <w:rsid w:val="00F45260"/>
    <w:rsid w:val="03463557"/>
    <w:rsid w:val="078F74E7"/>
    <w:rsid w:val="0CCF0B7D"/>
    <w:rsid w:val="0FB97D51"/>
    <w:rsid w:val="189306AB"/>
    <w:rsid w:val="2AF66B61"/>
    <w:rsid w:val="304224A6"/>
    <w:rsid w:val="507969D0"/>
    <w:rsid w:val="512A5408"/>
    <w:rsid w:val="52153C23"/>
    <w:rsid w:val="53ED6794"/>
    <w:rsid w:val="5C585D88"/>
    <w:rsid w:val="654E3329"/>
    <w:rsid w:val="6E627C54"/>
    <w:rsid w:val="7988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57547E"/>
    <w:pPr>
      <w:spacing w:after="120"/>
    </w:pPr>
  </w:style>
  <w:style w:type="paragraph" w:styleId="a4">
    <w:name w:val="header"/>
    <w:basedOn w:val="a"/>
    <w:qFormat/>
    <w:rsid w:val="005754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Body Text First Indent"/>
    <w:basedOn w:val="a3"/>
    <w:qFormat/>
    <w:rsid w:val="0057547E"/>
    <w:pPr>
      <w:widowControl w:val="0"/>
      <w:ind w:firstLineChars="100" w:firstLine="420"/>
      <w:jc w:val="both"/>
    </w:pPr>
    <w:rPr>
      <w:rFonts w:ascii="Calibri" w:hAnsi="Calibri"/>
      <w:color w:val="000000"/>
      <w:sz w:val="20"/>
      <w:szCs w:val="20"/>
    </w:rPr>
  </w:style>
  <w:style w:type="character" w:styleId="a6">
    <w:name w:val="Emphasis"/>
    <w:basedOn w:val="a0"/>
    <w:qFormat/>
    <w:rsid w:val="0057547E"/>
    <w:rPr>
      <w:i/>
    </w:rPr>
  </w:style>
  <w:style w:type="paragraph" w:styleId="a7">
    <w:name w:val="footer"/>
    <w:basedOn w:val="a"/>
    <w:link w:val="Char"/>
    <w:rsid w:val="00A24B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A24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星絮@破夜</dc:creator>
  <cp:lastModifiedBy>AutoBVT</cp:lastModifiedBy>
  <cp:revision>2</cp:revision>
  <dcterms:created xsi:type="dcterms:W3CDTF">2022-02-15T06:41:00Z</dcterms:created>
  <dcterms:modified xsi:type="dcterms:W3CDTF">2023-04-17T08:27:00Z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9967D84E059743E3B5DCEA50CA1BC32D_13</vt:lpwstr>
  </property>
</Properties>
</file>