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燃气“百日行动”整治进展情况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楷体_GB2312" w:hAnsi="楷体_GB2312" w:eastAsia="楷体_GB2312" w:cs="楷体_GB2312"/>
          <w:kern w:val="0"/>
        </w:rPr>
      </w:pPr>
      <w:r>
        <w:rPr>
          <w:rFonts w:ascii="楷体_GB2312" w:hAnsi="楷体_GB2312" w:eastAsia="楷体_GB2312" w:cs="楷体_GB2312"/>
          <w:kern w:val="0"/>
        </w:rPr>
        <w:t xml:space="preserve">            </w:t>
      </w:r>
      <w:r>
        <w:rPr>
          <w:rFonts w:hint="eastAsia" w:ascii="楷体_GB2312" w:hAnsi="楷体_GB2312" w:eastAsia="楷体_GB2312" w:cs="楷体_GB2312"/>
          <w:kern w:val="0"/>
        </w:rPr>
        <w:t>（单位）</w:t>
      </w:r>
      <w:r>
        <w:rPr>
          <w:rFonts w:ascii="楷体_GB2312" w:hAnsi="楷体_GB2312" w:eastAsia="楷体_GB2312" w:cs="楷体_GB2312"/>
          <w:kern w:val="0"/>
        </w:rPr>
        <w:t xml:space="preserve">           </w:t>
      </w:r>
      <w:r>
        <w:rPr>
          <w:rFonts w:hint="eastAsia" w:ascii="楷体_GB2312" w:hAnsi="楷体_GB2312" w:eastAsia="楷体_GB2312" w:cs="楷体_GB2312"/>
          <w:kern w:val="0"/>
        </w:rPr>
        <w:t>填报日期：</w:t>
      </w:r>
      <w:r>
        <w:rPr>
          <w:rFonts w:ascii="楷体_GB2312" w:hAnsi="楷体_GB2312" w:eastAsia="楷体_GB2312" w:cs="楷体_GB2312"/>
          <w:kern w:val="0"/>
        </w:rPr>
        <w:t xml:space="preserve">  </w:t>
      </w:r>
      <w:r>
        <w:rPr>
          <w:rFonts w:hint="eastAsia" w:ascii="楷体_GB2312" w:hAnsi="楷体_GB2312" w:eastAsia="楷体_GB2312" w:cs="楷体_GB2312"/>
          <w:kern w:val="0"/>
        </w:rPr>
        <w:t>年</w:t>
      </w:r>
      <w:r>
        <w:rPr>
          <w:rFonts w:ascii="楷体_GB2312" w:hAnsi="楷体_GB2312" w:eastAsia="楷体_GB2312" w:cs="楷体_GB2312"/>
          <w:kern w:val="0"/>
        </w:rPr>
        <w:t xml:space="preserve"> </w:t>
      </w:r>
      <w:r>
        <w:rPr>
          <w:rFonts w:hint="eastAsia" w:ascii="楷体_GB2312" w:hAnsi="楷体_GB2312" w:eastAsia="楷体_GB2312" w:cs="楷体_GB2312"/>
          <w:kern w:val="0"/>
        </w:rPr>
        <w:t>月</w:t>
      </w:r>
      <w:r>
        <w:rPr>
          <w:rFonts w:ascii="楷体_GB2312" w:hAnsi="楷体_GB2312" w:eastAsia="楷体_GB2312" w:cs="楷体_GB2312"/>
          <w:kern w:val="0"/>
        </w:rPr>
        <w:t xml:space="preserve"> </w:t>
      </w:r>
      <w:r>
        <w:rPr>
          <w:rFonts w:hint="eastAsia" w:ascii="楷体_GB2312" w:hAnsi="楷体_GB2312" w:eastAsia="楷体_GB2312" w:cs="楷体_GB2312"/>
          <w:kern w:val="0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323"/>
        <w:gridCol w:w="955"/>
        <w:gridCol w:w="344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自查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经营环节排查隐患数量（个）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经营环节隐患完成整改数量（个）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输送配送环节排查隐患数量（个）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输送配送环节隐患完成整改数量（个）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使用环节排查隐患数量（个）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使用环节隐患完成整改数量（个）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燃气企业的商业用户数量（户）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燃气企业已入户安检的商业用户数量（户）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执法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燃气安全执法检查次数（次）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燃气安全执法检查处罚次数（次）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执法检查处罚金额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（万元）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吊销、取缔不符合市场准入条件燃气企业（家）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查处餐饮经营场所使用不合格或不符合气源要求的燃气具（家）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查处餐饮经营场所未安装燃气报警器（家）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查处违规使用“双燃料”的餐饮经营场所（家）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查处未制定燃气管道保护方案违规施工的施工企业（家）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打击违规供应非法气源的企业数量（家）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查处生产销售伪劣燃气具和燃气报警器的金额（万元）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督导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指导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督导次数（次）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通报次数（次）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7" w:type="dxa"/>
            <w:vMerge w:val="continue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2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约谈次数（次）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警示教育次数（次）</w:t>
            </w:r>
          </w:p>
        </w:tc>
        <w:tc>
          <w:tcPr>
            <w:tcW w:w="847" w:type="dxa"/>
          </w:tcPr>
          <w:p>
            <w:pPr>
              <w:spacing w:line="440" w:lineRule="exact"/>
              <w:rPr>
                <w:rFonts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6EE67B8A"/>
    <w:rsid w:val="6EE6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next w:val="1"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2023-06-30T01:41:00Z</dcterms:created>
  <dc:creator>Design.</dc:creator>
  <cp:lastModifiedBy>Design.</cp:lastModifiedBy>
  <dcterms:modified xsi:type="dcterms:W3CDTF">2023-06-30T01:41:55Z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697968DB3CBC427D942B4DB256C26CD8_11</vt:lpwstr>
  </property>
</Properties>
</file>