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69B8" w:rsidRDefault="00F169B8">
      <w:pPr>
        <w:spacing w:before="1000" w:line="860" w:lineRule="exact"/>
        <w:ind w:right="421"/>
        <w:jc w:val="right"/>
        <w:rPr>
          <w:rFonts w:ascii="仿宋_GB2312" w:eastAsia="仿宋_GB2312"/>
          <w:sz w:val="32"/>
          <w:szCs w:val="32"/>
        </w:rPr>
      </w:pPr>
    </w:p>
    <w:p w:rsidR="00F169B8" w:rsidRDefault="00F169B8">
      <w:pPr>
        <w:spacing w:line="860" w:lineRule="exact"/>
        <w:jc w:val="center"/>
        <w:rPr>
          <w:sz w:val="70"/>
          <w:szCs w:val="70"/>
        </w:rPr>
      </w:pPr>
    </w:p>
    <w:p w:rsidR="00F169B8" w:rsidRDefault="00F169B8">
      <w:pPr>
        <w:spacing w:line="860" w:lineRule="exact"/>
        <w:jc w:val="center"/>
        <w:rPr>
          <w:sz w:val="70"/>
          <w:szCs w:val="70"/>
        </w:rPr>
      </w:pPr>
    </w:p>
    <w:p w:rsidR="00F169B8" w:rsidRDefault="00F169B8">
      <w:pPr>
        <w:spacing w:line="860" w:lineRule="exact"/>
        <w:jc w:val="center"/>
        <w:rPr>
          <w:sz w:val="70"/>
          <w:szCs w:val="70"/>
        </w:rPr>
      </w:pPr>
    </w:p>
    <w:p w:rsidR="00F169B8" w:rsidRDefault="00104C45">
      <w:pPr>
        <w:pStyle w:val="a5"/>
        <w:spacing w:line="600" w:lineRule="exact"/>
        <w:ind w:leftChars="100" w:left="210" w:rightChars="100" w:right="210"/>
        <w:jc w:val="center"/>
        <w:rPr>
          <w:rFonts w:ascii="楷体_GB2312" w:eastAsia="楷体_GB2312" w:hAnsi="Times New Roman"/>
          <w:sz w:val="32"/>
          <w:szCs w:val="32"/>
        </w:rPr>
      </w:pPr>
      <w:r>
        <w:rPr>
          <w:rFonts w:ascii="Times New Roman" w:eastAsia="仿宋_GB2312" w:hAnsi="Times New Roman" w:hint="eastAsia"/>
          <w:sz w:val="32"/>
          <w:szCs w:val="32"/>
        </w:rPr>
        <w:t>晋磁政〔</w:t>
      </w:r>
      <w:r>
        <w:rPr>
          <w:rFonts w:ascii="Times New Roman" w:eastAsia="仿宋_GB2312" w:hAnsi="Times New Roman"/>
          <w:sz w:val="32"/>
          <w:szCs w:val="32"/>
        </w:rPr>
        <w:t>20</w:t>
      </w:r>
      <w:r>
        <w:rPr>
          <w:rFonts w:ascii="Times New Roman" w:eastAsia="仿宋_GB2312" w:hAnsi="Times New Roman" w:hint="eastAsia"/>
          <w:sz w:val="32"/>
          <w:szCs w:val="32"/>
        </w:rPr>
        <w:t>2</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108</w:t>
      </w:r>
      <w:r>
        <w:rPr>
          <w:rFonts w:ascii="Times New Roman" w:eastAsia="仿宋_GB2312" w:hAnsi="Times New Roman" w:hint="eastAsia"/>
          <w:sz w:val="32"/>
          <w:szCs w:val="32"/>
        </w:rPr>
        <w:t>号</w:t>
      </w:r>
    </w:p>
    <w:p w:rsidR="00F169B8" w:rsidRDefault="00F169B8">
      <w:pPr>
        <w:spacing w:line="640" w:lineRule="exact"/>
        <w:jc w:val="center"/>
        <w:rPr>
          <w:rFonts w:eastAsia="仿宋_GB2312"/>
          <w:sz w:val="32"/>
          <w:szCs w:val="32"/>
        </w:rPr>
      </w:pPr>
    </w:p>
    <w:p w:rsidR="00F169B8" w:rsidRDefault="00F169B8">
      <w:pPr>
        <w:spacing w:line="640" w:lineRule="exact"/>
        <w:jc w:val="center"/>
        <w:rPr>
          <w:rFonts w:eastAsia="仿宋_GB2312"/>
          <w:sz w:val="32"/>
          <w:szCs w:val="32"/>
        </w:rPr>
      </w:pPr>
    </w:p>
    <w:p w:rsidR="00F169B8" w:rsidRPr="00DF5CE9" w:rsidRDefault="00104C45" w:rsidP="00DF5CE9">
      <w:pPr>
        <w:pStyle w:val="a5"/>
        <w:spacing w:line="600" w:lineRule="exact"/>
        <w:jc w:val="center"/>
        <w:rPr>
          <w:rFonts w:ascii="方正小标宋简体" w:eastAsia="方正小标宋简体"/>
          <w:color w:val="000000"/>
          <w:spacing w:val="-10"/>
          <w:sz w:val="44"/>
          <w:szCs w:val="44"/>
        </w:rPr>
      </w:pPr>
      <w:r w:rsidRPr="00DF5CE9">
        <w:rPr>
          <w:rFonts w:eastAsia="方正小标宋简体" w:hint="eastAsia"/>
          <w:color w:val="000000"/>
          <w:spacing w:val="-10"/>
          <w:sz w:val="44"/>
          <w:szCs w:val="44"/>
        </w:rPr>
        <w:t>晋江市</w:t>
      </w:r>
      <w:r w:rsidRPr="00DF5CE9">
        <w:rPr>
          <w:rFonts w:eastAsia="方正小标宋简体"/>
          <w:color w:val="000000"/>
          <w:spacing w:val="-10"/>
          <w:sz w:val="44"/>
          <w:szCs w:val="44"/>
        </w:rPr>
        <w:t>磁灶镇人民政府</w:t>
      </w:r>
      <w:r w:rsidRPr="00DF5CE9">
        <w:rPr>
          <w:rFonts w:eastAsia="方正小标宋简体" w:hint="eastAsia"/>
          <w:color w:val="000000"/>
          <w:spacing w:val="-10"/>
          <w:sz w:val="44"/>
          <w:szCs w:val="44"/>
        </w:rPr>
        <w:t>关</w:t>
      </w:r>
      <w:r w:rsidRPr="00DF5CE9">
        <w:rPr>
          <w:rFonts w:ascii="方正小标宋简体" w:eastAsia="方正小标宋简体" w:hint="eastAsia"/>
          <w:color w:val="000000"/>
          <w:spacing w:val="-10"/>
          <w:sz w:val="44"/>
          <w:szCs w:val="44"/>
        </w:rPr>
        <w:t>于印发</w:t>
      </w:r>
      <w:r w:rsidRPr="00DF5CE9">
        <w:rPr>
          <w:rFonts w:ascii="方正小标宋简体" w:eastAsia="方正小标宋简体" w:hint="eastAsia"/>
          <w:color w:val="000000"/>
          <w:spacing w:val="-10"/>
          <w:sz w:val="44"/>
          <w:szCs w:val="44"/>
        </w:rPr>
        <w:t>2023</w:t>
      </w:r>
      <w:r w:rsidRPr="00DF5CE9">
        <w:rPr>
          <w:rFonts w:ascii="方正小标宋简体" w:eastAsia="方正小标宋简体" w:hint="eastAsia"/>
          <w:color w:val="000000"/>
          <w:spacing w:val="-10"/>
          <w:sz w:val="44"/>
          <w:szCs w:val="44"/>
        </w:rPr>
        <w:t>年</w:t>
      </w:r>
      <w:r w:rsidRPr="00DF5CE9">
        <w:rPr>
          <w:rFonts w:ascii="方正小标宋简体" w:eastAsia="方正小标宋简体" w:hint="eastAsia"/>
          <w:color w:val="000000"/>
          <w:spacing w:val="-10"/>
          <w:sz w:val="44"/>
          <w:szCs w:val="44"/>
        </w:rPr>
        <w:t>城乡居民基本养老保险征缴工作方案的通知</w:t>
      </w:r>
    </w:p>
    <w:p w:rsidR="00F169B8" w:rsidRDefault="00F169B8">
      <w:pPr>
        <w:spacing w:line="600" w:lineRule="exact"/>
        <w:rPr>
          <w:rFonts w:eastAsia="方正小标宋简体"/>
          <w:sz w:val="32"/>
          <w:szCs w:val="32"/>
        </w:rPr>
      </w:pPr>
    </w:p>
    <w:p w:rsidR="00F169B8" w:rsidRDefault="00104C45">
      <w:pPr>
        <w:spacing w:line="600" w:lineRule="exact"/>
        <w:rPr>
          <w:rFonts w:eastAsia="仿宋_GB2312"/>
          <w:sz w:val="32"/>
          <w:szCs w:val="32"/>
        </w:rPr>
      </w:pPr>
      <w:r>
        <w:rPr>
          <w:rFonts w:eastAsia="仿宋_GB2312" w:hint="eastAsia"/>
          <w:sz w:val="32"/>
          <w:szCs w:val="32"/>
        </w:rPr>
        <w:t>各村（社区）、</w:t>
      </w:r>
      <w:r>
        <w:rPr>
          <w:rFonts w:eastAsia="仿宋_GB2312" w:hint="eastAsia"/>
          <w:sz w:val="32"/>
          <w:szCs w:val="32"/>
        </w:rPr>
        <w:t>各工作片区</w:t>
      </w:r>
      <w:r>
        <w:rPr>
          <w:rFonts w:eastAsia="仿宋_GB2312" w:hint="eastAsia"/>
          <w:sz w:val="32"/>
          <w:szCs w:val="32"/>
        </w:rPr>
        <w:t>：</w:t>
      </w:r>
    </w:p>
    <w:p w:rsidR="00F169B8" w:rsidRDefault="00104C45">
      <w:pPr>
        <w:pStyle w:val="a5"/>
        <w:spacing w:line="600" w:lineRule="exact"/>
        <w:ind w:firstLineChars="200" w:firstLine="640"/>
        <w:rPr>
          <w:rFonts w:eastAsia="仿宋_GB2312"/>
          <w:sz w:val="32"/>
          <w:szCs w:val="32"/>
        </w:rPr>
      </w:pPr>
      <w:r>
        <w:rPr>
          <w:rFonts w:eastAsia="仿宋_GB2312" w:hint="eastAsia"/>
          <w:sz w:val="32"/>
          <w:szCs w:val="32"/>
        </w:rPr>
        <w:t>现将《</w:t>
      </w:r>
      <w:r>
        <w:rPr>
          <w:rFonts w:eastAsia="仿宋_GB2312" w:hint="eastAsia"/>
          <w:sz w:val="32"/>
          <w:szCs w:val="32"/>
        </w:rPr>
        <w:t>磁灶镇</w:t>
      </w:r>
      <w:r>
        <w:rPr>
          <w:rFonts w:eastAsia="仿宋_GB2312" w:hint="eastAsia"/>
          <w:sz w:val="32"/>
          <w:szCs w:val="32"/>
        </w:rPr>
        <w:t>2023</w:t>
      </w:r>
      <w:r>
        <w:rPr>
          <w:rFonts w:eastAsia="仿宋_GB2312" w:hint="eastAsia"/>
          <w:sz w:val="32"/>
          <w:szCs w:val="32"/>
        </w:rPr>
        <w:t>年城乡居民基本养老保险征缴工作方案</w:t>
      </w:r>
      <w:r>
        <w:rPr>
          <w:rFonts w:eastAsia="仿宋_GB2312" w:hint="eastAsia"/>
          <w:sz w:val="32"/>
          <w:szCs w:val="32"/>
        </w:rPr>
        <w:t>》印发给你们，请做好宣传发动，认真贯彻执行。</w:t>
      </w:r>
    </w:p>
    <w:p w:rsidR="00F169B8" w:rsidRDefault="00F169B8">
      <w:pPr>
        <w:spacing w:line="600" w:lineRule="exact"/>
        <w:ind w:rightChars="600" w:right="1260" w:firstLine="646"/>
        <w:jc w:val="right"/>
        <w:rPr>
          <w:rFonts w:eastAsia="仿宋_GB2312"/>
          <w:sz w:val="32"/>
          <w:szCs w:val="32"/>
        </w:rPr>
      </w:pPr>
    </w:p>
    <w:p w:rsidR="00F169B8" w:rsidRDefault="00F169B8">
      <w:pPr>
        <w:spacing w:line="600" w:lineRule="exact"/>
        <w:ind w:rightChars="600" w:right="1260" w:firstLine="646"/>
        <w:jc w:val="right"/>
        <w:rPr>
          <w:rFonts w:eastAsia="仿宋_GB2312"/>
          <w:sz w:val="32"/>
          <w:szCs w:val="32"/>
        </w:rPr>
      </w:pPr>
    </w:p>
    <w:p w:rsidR="00F169B8" w:rsidRDefault="00104C45">
      <w:pPr>
        <w:spacing w:line="600" w:lineRule="exact"/>
        <w:ind w:rightChars="650" w:right="1365" w:firstLine="646"/>
        <w:jc w:val="right"/>
        <w:rPr>
          <w:rFonts w:eastAsia="仿宋_GB2312"/>
          <w:sz w:val="32"/>
          <w:szCs w:val="32"/>
        </w:rPr>
      </w:pPr>
      <w:r>
        <w:rPr>
          <w:rFonts w:eastAsia="仿宋_GB2312" w:hint="eastAsia"/>
          <w:sz w:val="32"/>
          <w:szCs w:val="32"/>
        </w:rPr>
        <w:t>晋江市磁灶镇人民政府</w:t>
      </w:r>
    </w:p>
    <w:p w:rsidR="00F169B8" w:rsidRDefault="00104C45" w:rsidP="00DF5CE9">
      <w:pPr>
        <w:spacing w:beforeLines="100" w:line="600" w:lineRule="exact"/>
        <w:ind w:rightChars="777" w:right="1632" w:firstLine="646"/>
        <w:jc w:val="right"/>
        <w:rPr>
          <w:rFonts w:eastAsia="仿宋_GB2312"/>
          <w:sz w:val="32"/>
          <w:szCs w:val="32"/>
        </w:rPr>
      </w:pPr>
      <w:r>
        <w:rPr>
          <w:rFonts w:eastAsia="仿宋_GB2312" w:hint="eastAsia"/>
          <w:sz w:val="32"/>
          <w:szCs w:val="32"/>
        </w:rPr>
        <w:t>202</w:t>
      </w:r>
      <w:r>
        <w:rPr>
          <w:rFonts w:eastAsia="仿宋_GB2312" w:hint="eastAsia"/>
          <w:sz w:val="32"/>
          <w:szCs w:val="32"/>
        </w:rPr>
        <w:t>3</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sidR="00DF5CE9">
        <w:rPr>
          <w:rFonts w:eastAsia="仿宋_GB2312" w:hint="eastAsia"/>
          <w:sz w:val="32"/>
          <w:szCs w:val="32"/>
        </w:rPr>
        <w:t>12</w:t>
      </w:r>
      <w:r>
        <w:rPr>
          <w:rFonts w:eastAsia="仿宋_GB2312" w:hint="eastAsia"/>
          <w:sz w:val="32"/>
          <w:szCs w:val="32"/>
        </w:rPr>
        <w:t>日</w:t>
      </w:r>
    </w:p>
    <w:p w:rsidR="00F169B8" w:rsidRDefault="00F169B8">
      <w:pPr>
        <w:spacing w:line="600" w:lineRule="exact"/>
        <w:ind w:rightChars="800" w:right="1680" w:firstLine="646"/>
        <w:jc w:val="right"/>
        <w:rPr>
          <w:rFonts w:eastAsia="仿宋_GB2312"/>
          <w:sz w:val="32"/>
          <w:szCs w:val="32"/>
        </w:rPr>
      </w:pPr>
    </w:p>
    <w:p w:rsidR="00F169B8" w:rsidRDefault="00104C45">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lastRenderedPageBreak/>
        <w:t>磁灶镇</w:t>
      </w:r>
      <w:r>
        <w:rPr>
          <w:rFonts w:ascii="方正小标宋简体" w:eastAsia="方正小标宋简体" w:hint="eastAsia"/>
          <w:color w:val="000000"/>
          <w:sz w:val="44"/>
          <w:szCs w:val="44"/>
        </w:rPr>
        <w:t>2023</w:t>
      </w:r>
      <w:r>
        <w:rPr>
          <w:rFonts w:ascii="方正小标宋简体" w:eastAsia="方正小标宋简体" w:hint="eastAsia"/>
          <w:color w:val="000000"/>
          <w:sz w:val="44"/>
          <w:szCs w:val="44"/>
        </w:rPr>
        <w:t>年城乡居民基本养老保险</w:t>
      </w:r>
    </w:p>
    <w:p w:rsidR="00F169B8" w:rsidRDefault="00104C45">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征缴工作方案</w:t>
      </w:r>
    </w:p>
    <w:p w:rsidR="00F169B8" w:rsidRDefault="00F169B8">
      <w:pPr>
        <w:spacing w:line="600" w:lineRule="exact"/>
        <w:jc w:val="center"/>
        <w:rPr>
          <w:rFonts w:eastAsia="仿宋_GB2312"/>
          <w:sz w:val="32"/>
          <w:szCs w:val="32"/>
        </w:rPr>
      </w:pPr>
    </w:p>
    <w:p w:rsidR="00F169B8" w:rsidRDefault="00104C45">
      <w:pPr>
        <w:spacing w:line="600" w:lineRule="exact"/>
        <w:ind w:firstLineChars="200" w:firstLine="640"/>
        <w:rPr>
          <w:rFonts w:eastAsia="仿宋_GB2312"/>
          <w:sz w:val="32"/>
          <w:szCs w:val="32"/>
        </w:rPr>
      </w:pPr>
      <w:r>
        <w:rPr>
          <w:rFonts w:eastAsia="仿宋_GB2312" w:hint="eastAsia"/>
          <w:sz w:val="32"/>
          <w:szCs w:val="32"/>
        </w:rPr>
        <w:t>为认真贯彻落实上级城乡居民基本养老保险工作有关要求，确保完成</w:t>
      </w:r>
      <w:r>
        <w:rPr>
          <w:rFonts w:eastAsia="仿宋_GB2312" w:hint="eastAsia"/>
          <w:sz w:val="32"/>
          <w:szCs w:val="32"/>
        </w:rPr>
        <w:t>2023</w:t>
      </w:r>
      <w:r>
        <w:rPr>
          <w:rFonts w:eastAsia="仿宋_GB2312" w:hint="eastAsia"/>
          <w:sz w:val="32"/>
          <w:szCs w:val="32"/>
        </w:rPr>
        <w:t>年城乡居民基本养老保险（以下简称“城乡养老保险”）征缴工作任务，结合我镇实际，特制定本工作方案。</w:t>
      </w:r>
    </w:p>
    <w:p w:rsidR="00F169B8" w:rsidRDefault="00104C4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一、工作任务及相关安排</w:t>
      </w:r>
    </w:p>
    <w:p w:rsidR="00F169B8" w:rsidRDefault="00104C4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（一）缴费任务</w:t>
      </w:r>
    </w:p>
    <w:p w:rsidR="00F169B8" w:rsidRDefault="00104C45">
      <w:pPr>
        <w:spacing w:line="600" w:lineRule="exact"/>
        <w:ind w:firstLineChars="200" w:firstLine="640"/>
        <w:rPr>
          <w:rFonts w:eastAsia="仿宋_GB2312"/>
          <w:sz w:val="32"/>
          <w:szCs w:val="32"/>
        </w:rPr>
      </w:pPr>
      <w:r>
        <w:rPr>
          <w:rFonts w:eastAsia="仿宋_GB2312" w:hint="eastAsia"/>
          <w:sz w:val="32"/>
          <w:szCs w:val="32"/>
        </w:rPr>
        <w:t>各村（社区）要严格落实目标责任制考核要求，积极采取措施加大城乡居民参保缴费工作力度，动员未参保居民积极参保；引导已参保未续缴居民继续缴费；鼓励有条件的参保居民提高缴费档次。</w:t>
      </w:r>
    </w:p>
    <w:p w:rsidR="00F169B8" w:rsidRDefault="00104C4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（二）缴费标准</w:t>
      </w:r>
    </w:p>
    <w:p w:rsidR="00F169B8" w:rsidRDefault="00104C45">
      <w:pPr>
        <w:spacing w:line="600" w:lineRule="exact"/>
        <w:ind w:firstLineChars="200" w:firstLine="640"/>
        <w:rPr>
          <w:rFonts w:eastAsia="仿宋_GB2312"/>
          <w:sz w:val="32"/>
          <w:szCs w:val="32"/>
        </w:rPr>
      </w:pPr>
      <w:r>
        <w:rPr>
          <w:rFonts w:eastAsia="仿宋_GB2312" w:hint="eastAsia"/>
          <w:sz w:val="32"/>
          <w:szCs w:val="32"/>
        </w:rPr>
        <w:t>城乡居民养老保险个人缴费档次标准及政府缴费补贴共分为</w:t>
      </w:r>
      <w:r>
        <w:rPr>
          <w:rFonts w:eastAsia="仿宋_GB2312" w:hint="eastAsia"/>
          <w:sz w:val="32"/>
          <w:szCs w:val="32"/>
        </w:rPr>
        <w:t>13</w:t>
      </w:r>
      <w:r>
        <w:rPr>
          <w:rFonts w:eastAsia="仿宋_GB2312" w:hint="eastAsia"/>
          <w:sz w:val="32"/>
          <w:szCs w:val="32"/>
        </w:rPr>
        <w:t>档，分别为（单位是“元”</w:t>
      </w:r>
      <w:r>
        <w:rPr>
          <w:rFonts w:eastAsia="仿宋_GB2312" w:hint="eastAsia"/>
          <w:sz w:val="32"/>
          <w:szCs w:val="32"/>
        </w:rPr>
        <w:t>，</w:t>
      </w:r>
      <w:r>
        <w:rPr>
          <w:rFonts w:eastAsia="仿宋_GB2312" w:hint="eastAsia"/>
          <w:sz w:val="32"/>
          <w:szCs w:val="32"/>
        </w:rPr>
        <w:t>括号内为政府缴费补贴金额）</w:t>
      </w:r>
      <w:r>
        <w:rPr>
          <w:rFonts w:eastAsia="仿宋_GB2312" w:hint="eastAsia"/>
          <w:sz w:val="32"/>
          <w:szCs w:val="32"/>
        </w:rPr>
        <w:t>：</w:t>
      </w:r>
      <w:r>
        <w:rPr>
          <w:rFonts w:eastAsia="仿宋_GB2312" w:hint="eastAsia"/>
          <w:sz w:val="32"/>
          <w:szCs w:val="32"/>
        </w:rPr>
        <w:t>200</w:t>
      </w:r>
      <w:r>
        <w:rPr>
          <w:rFonts w:eastAsia="仿宋_GB2312" w:hint="eastAsia"/>
          <w:sz w:val="32"/>
          <w:szCs w:val="32"/>
        </w:rPr>
        <w:t>（</w:t>
      </w:r>
      <w:r>
        <w:rPr>
          <w:rFonts w:eastAsia="仿宋_GB2312" w:hint="eastAsia"/>
          <w:sz w:val="32"/>
          <w:szCs w:val="32"/>
        </w:rPr>
        <w:t>40</w:t>
      </w:r>
      <w:r>
        <w:rPr>
          <w:rFonts w:eastAsia="仿宋_GB2312" w:hint="eastAsia"/>
          <w:sz w:val="32"/>
          <w:szCs w:val="32"/>
        </w:rPr>
        <w:t>）、</w:t>
      </w:r>
      <w:r>
        <w:rPr>
          <w:rFonts w:eastAsia="仿宋_GB2312" w:hint="eastAsia"/>
          <w:sz w:val="32"/>
          <w:szCs w:val="32"/>
        </w:rPr>
        <w:t>300</w:t>
      </w:r>
      <w:r>
        <w:rPr>
          <w:rFonts w:eastAsia="仿宋_GB2312" w:hint="eastAsia"/>
          <w:sz w:val="32"/>
          <w:szCs w:val="32"/>
        </w:rPr>
        <w:t>（</w:t>
      </w:r>
      <w:r>
        <w:rPr>
          <w:rFonts w:eastAsia="仿宋_GB2312" w:hint="eastAsia"/>
          <w:sz w:val="32"/>
          <w:szCs w:val="32"/>
        </w:rPr>
        <w:t>50</w:t>
      </w:r>
      <w:r>
        <w:rPr>
          <w:rFonts w:eastAsia="仿宋_GB2312" w:hint="eastAsia"/>
          <w:sz w:val="32"/>
          <w:szCs w:val="32"/>
        </w:rPr>
        <w:t>）、</w:t>
      </w:r>
      <w:r>
        <w:rPr>
          <w:rFonts w:eastAsia="仿宋_GB2312" w:hint="eastAsia"/>
          <w:sz w:val="32"/>
          <w:szCs w:val="32"/>
        </w:rPr>
        <w:t>400</w:t>
      </w:r>
      <w:r>
        <w:rPr>
          <w:rFonts w:eastAsia="仿宋_GB2312" w:hint="eastAsia"/>
          <w:sz w:val="32"/>
          <w:szCs w:val="32"/>
        </w:rPr>
        <w:t>（</w:t>
      </w:r>
      <w:r>
        <w:rPr>
          <w:rFonts w:eastAsia="仿宋_GB2312" w:hint="eastAsia"/>
          <w:sz w:val="32"/>
          <w:szCs w:val="32"/>
        </w:rPr>
        <w:t>60</w:t>
      </w:r>
      <w:r>
        <w:rPr>
          <w:rFonts w:eastAsia="仿宋_GB2312" w:hint="eastAsia"/>
          <w:sz w:val="32"/>
          <w:szCs w:val="32"/>
        </w:rPr>
        <w:t>）、</w:t>
      </w:r>
      <w:r>
        <w:rPr>
          <w:rFonts w:eastAsia="仿宋_GB2312" w:hint="eastAsia"/>
          <w:sz w:val="32"/>
          <w:szCs w:val="32"/>
        </w:rPr>
        <w:t>500</w:t>
      </w:r>
      <w:r>
        <w:rPr>
          <w:rFonts w:eastAsia="仿宋_GB2312" w:hint="eastAsia"/>
          <w:sz w:val="32"/>
          <w:szCs w:val="32"/>
        </w:rPr>
        <w:t>（</w:t>
      </w:r>
      <w:r>
        <w:rPr>
          <w:rFonts w:eastAsia="仿宋_GB2312" w:hint="eastAsia"/>
          <w:sz w:val="32"/>
          <w:szCs w:val="32"/>
        </w:rPr>
        <w:t>70</w:t>
      </w:r>
      <w:r>
        <w:rPr>
          <w:rFonts w:eastAsia="仿宋_GB2312" w:hint="eastAsia"/>
          <w:sz w:val="32"/>
          <w:szCs w:val="32"/>
        </w:rPr>
        <w:t>）、</w:t>
      </w:r>
      <w:r>
        <w:rPr>
          <w:rFonts w:eastAsia="仿宋_GB2312" w:hint="eastAsia"/>
          <w:sz w:val="32"/>
          <w:szCs w:val="32"/>
        </w:rPr>
        <w:t>600</w:t>
      </w:r>
      <w:r>
        <w:rPr>
          <w:rFonts w:eastAsia="仿宋_GB2312" w:hint="eastAsia"/>
          <w:sz w:val="32"/>
          <w:szCs w:val="32"/>
        </w:rPr>
        <w:t>（</w:t>
      </w:r>
      <w:r>
        <w:rPr>
          <w:rFonts w:eastAsia="仿宋_GB2312" w:hint="eastAsia"/>
          <w:sz w:val="32"/>
          <w:szCs w:val="32"/>
        </w:rPr>
        <w:t>80</w:t>
      </w:r>
      <w:r>
        <w:rPr>
          <w:rFonts w:eastAsia="仿宋_GB2312" w:hint="eastAsia"/>
          <w:sz w:val="32"/>
          <w:szCs w:val="32"/>
        </w:rPr>
        <w:t>）、</w:t>
      </w:r>
      <w:r>
        <w:rPr>
          <w:rFonts w:eastAsia="仿宋_GB2312" w:hint="eastAsia"/>
          <w:sz w:val="32"/>
          <w:szCs w:val="32"/>
        </w:rPr>
        <w:t>700</w:t>
      </w:r>
      <w:r>
        <w:rPr>
          <w:rFonts w:eastAsia="仿宋_GB2312" w:hint="eastAsia"/>
          <w:sz w:val="32"/>
          <w:szCs w:val="32"/>
        </w:rPr>
        <w:t>（</w:t>
      </w:r>
      <w:r>
        <w:rPr>
          <w:rFonts w:eastAsia="仿宋_GB2312" w:hint="eastAsia"/>
          <w:sz w:val="32"/>
          <w:szCs w:val="32"/>
        </w:rPr>
        <w:t>90</w:t>
      </w:r>
      <w:r>
        <w:rPr>
          <w:rFonts w:eastAsia="仿宋_GB2312" w:hint="eastAsia"/>
          <w:sz w:val="32"/>
          <w:szCs w:val="32"/>
        </w:rPr>
        <w:t>）、</w:t>
      </w:r>
      <w:r>
        <w:rPr>
          <w:rFonts w:eastAsia="仿宋_GB2312" w:hint="eastAsia"/>
          <w:sz w:val="32"/>
          <w:szCs w:val="32"/>
        </w:rPr>
        <w:t>800</w:t>
      </w:r>
      <w:r>
        <w:rPr>
          <w:rFonts w:eastAsia="仿宋_GB2312" w:hint="eastAsia"/>
          <w:sz w:val="32"/>
          <w:szCs w:val="32"/>
        </w:rPr>
        <w:t>（</w:t>
      </w:r>
      <w:r>
        <w:rPr>
          <w:rFonts w:eastAsia="仿宋_GB2312" w:hint="eastAsia"/>
          <w:sz w:val="32"/>
          <w:szCs w:val="32"/>
        </w:rPr>
        <w:t>100</w:t>
      </w:r>
      <w:r>
        <w:rPr>
          <w:rFonts w:eastAsia="仿宋_GB2312" w:hint="eastAsia"/>
          <w:sz w:val="32"/>
          <w:szCs w:val="32"/>
        </w:rPr>
        <w:t>）、</w:t>
      </w:r>
      <w:r>
        <w:rPr>
          <w:rFonts w:eastAsia="仿宋_GB2312" w:hint="eastAsia"/>
          <w:sz w:val="32"/>
          <w:szCs w:val="32"/>
        </w:rPr>
        <w:t>1000</w:t>
      </w:r>
      <w:r>
        <w:rPr>
          <w:rFonts w:eastAsia="仿宋_GB2312" w:hint="eastAsia"/>
          <w:sz w:val="32"/>
          <w:szCs w:val="32"/>
        </w:rPr>
        <w:t>（</w:t>
      </w:r>
      <w:r>
        <w:rPr>
          <w:rFonts w:eastAsia="仿宋_GB2312" w:hint="eastAsia"/>
          <w:sz w:val="32"/>
          <w:szCs w:val="32"/>
        </w:rPr>
        <w:t>120</w:t>
      </w:r>
      <w:r>
        <w:rPr>
          <w:rFonts w:eastAsia="仿宋_GB2312" w:hint="eastAsia"/>
          <w:sz w:val="32"/>
          <w:szCs w:val="32"/>
        </w:rPr>
        <w:t>）、</w:t>
      </w:r>
      <w:r>
        <w:rPr>
          <w:rFonts w:eastAsia="仿宋_GB2312" w:hint="eastAsia"/>
          <w:sz w:val="32"/>
          <w:szCs w:val="32"/>
        </w:rPr>
        <w:t>1500</w:t>
      </w:r>
      <w:r>
        <w:rPr>
          <w:rFonts w:eastAsia="仿宋_GB2312" w:hint="eastAsia"/>
          <w:sz w:val="32"/>
          <w:szCs w:val="32"/>
        </w:rPr>
        <w:t>（</w:t>
      </w:r>
      <w:r>
        <w:rPr>
          <w:rFonts w:eastAsia="仿宋_GB2312" w:hint="eastAsia"/>
          <w:sz w:val="32"/>
          <w:szCs w:val="32"/>
        </w:rPr>
        <w:t>170</w:t>
      </w:r>
      <w:r>
        <w:rPr>
          <w:rFonts w:eastAsia="仿宋_GB2312" w:hint="eastAsia"/>
          <w:sz w:val="32"/>
          <w:szCs w:val="32"/>
        </w:rPr>
        <w:t>）、</w:t>
      </w:r>
      <w:r>
        <w:rPr>
          <w:rFonts w:eastAsia="仿宋_GB2312" w:hint="eastAsia"/>
          <w:sz w:val="32"/>
          <w:szCs w:val="32"/>
        </w:rPr>
        <w:t>2000</w:t>
      </w:r>
      <w:r>
        <w:rPr>
          <w:rFonts w:eastAsia="仿宋_GB2312" w:hint="eastAsia"/>
          <w:sz w:val="32"/>
          <w:szCs w:val="32"/>
        </w:rPr>
        <w:t>（</w:t>
      </w:r>
      <w:r>
        <w:rPr>
          <w:rFonts w:eastAsia="仿宋_GB2312" w:hint="eastAsia"/>
          <w:sz w:val="32"/>
          <w:szCs w:val="32"/>
        </w:rPr>
        <w:t>220</w:t>
      </w:r>
      <w:r>
        <w:rPr>
          <w:rFonts w:eastAsia="仿宋_GB2312" w:hint="eastAsia"/>
          <w:sz w:val="32"/>
          <w:szCs w:val="32"/>
        </w:rPr>
        <w:t>）</w:t>
      </w:r>
      <w:r>
        <w:rPr>
          <w:rFonts w:eastAsia="仿宋_GB2312" w:hint="eastAsia"/>
          <w:sz w:val="32"/>
          <w:szCs w:val="32"/>
        </w:rPr>
        <w:t>、</w:t>
      </w:r>
      <w:r>
        <w:rPr>
          <w:rFonts w:eastAsia="仿宋_GB2312" w:hint="eastAsia"/>
          <w:sz w:val="32"/>
          <w:szCs w:val="32"/>
        </w:rPr>
        <w:t>2500</w:t>
      </w:r>
      <w:r>
        <w:rPr>
          <w:rFonts w:eastAsia="仿宋_GB2312" w:hint="eastAsia"/>
          <w:sz w:val="32"/>
          <w:szCs w:val="32"/>
        </w:rPr>
        <w:t>（</w:t>
      </w:r>
      <w:r>
        <w:rPr>
          <w:rFonts w:eastAsia="仿宋_GB2312" w:hint="eastAsia"/>
          <w:sz w:val="32"/>
          <w:szCs w:val="32"/>
        </w:rPr>
        <w:t>270</w:t>
      </w:r>
      <w:r>
        <w:rPr>
          <w:rFonts w:eastAsia="仿宋_GB2312" w:hint="eastAsia"/>
          <w:sz w:val="32"/>
          <w:szCs w:val="32"/>
        </w:rPr>
        <w:t>）、</w:t>
      </w:r>
      <w:r>
        <w:rPr>
          <w:rFonts w:eastAsia="仿宋_GB2312" w:hint="eastAsia"/>
          <w:sz w:val="32"/>
          <w:szCs w:val="32"/>
        </w:rPr>
        <w:t>3000</w:t>
      </w:r>
      <w:r>
        <w:rPr>
          <w:rFonts w:eastAsia="仿宋_GB2312" w:hint="eastAsia"/>
          <w:sz w:val="32"/>
          <w:szCs w:val="32"/>
        </w:rPr>
        <w:t>（</w:t>
      </w:r>
      <w:r>
        <w:rPr>
          <w:rFonts w:eastAsia="仿宋_GB2312" w:hint="eastAsia"/>
          <w:sz w:val="32"/>
          <w:szCs w:val="32"/>
        </w:rPr>
        <w:t>320</w:t>
      </w:r>
      <w:r>
        <w:rPr>
          <w:rFonts w:eastAsia="仿宋_GB2312" w:hint="eastAsia"/>
          <w:sz w:val="32"/>
          <w:szCs w:val="32"/>
        </w:rPr>
        <w:t>）、</w:t>
      </w:r>
      <w:r>
        <w:rPr>
          <w:rFonts w:eastAsia="仿宋_GB2312" w:hint="eastAsia"/>
          <w:sz w:val="32"/>
          <w:szCs w:val="32"/>
        </w:rPr>
        <w:t>4000</w:t>
      </w:r>
      <w:r>
        <w:rPr>
          <w:rFonts w:eastAsia="仿宋_GB2312" w:hint="eastAsia"/>
          <w:sz w:val="32"/>
          <w:szCs w:val="32"/>
        </w:rPr>
        <w:t>（</w:t>
      </w:r>
      <w:r>
        <w:rPr>
          <w:rFonts w:eastAsia="仿宋_GB2312" w:hint="eastAsia"/>
          <w:sz w:val="32"/>
          <w:szCs w:val="32"/>
        </w:rPr>
        <w:t>420</w:t>
      </w:r>
      <w:r>
        <w:rPr>
          <w:rFonts w:eastAsia="仿宋_GB2312" w:hint="eastAsia"/>
          <w:sz w:val="32"/>
          <w:szCs w:val="32"/>
        </w:rPr>
        <w:t>）。</w:t>
      </w:r>
    </w:p>
    <w:p w:rsidR="00F169B8" w:rsidRDefault="00104C45">
      <w:pPr>
        <w:spacing w:line="600" w:lineRule="exact"/>
        <w:ind w:firstLineChars="200" w:firstLine="640"/>
        <w:rPr>
          <w:rFonts w:eastAsia="仿宋_GB2312"/>
          <w:sz w:val="32"/>
          <w:szCs w:val="32"/>
        </w:rPr>
      </w:pPr>
      <w:r>
        <w:rPr>
          <w:rFonts w:eastAsia="仿宋_GB2312" w:hint="eastAsia"/>
          <w:sz w:val="32"/>
          <w:szCs w:val="32"/>
        </w:rPr>
        <w:t>参保居民可自主选择按现有缴费档次缴费或变更缴费档次缴费。</w:t>
      </w:r>
    </w:p>
    <w:p w:rsidR="00F169B8" w:rsidRDefault="00104C4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（三）缴费时间</w:t>
      </w:r>
    </w:p>
    <w:p w:rsidR="00F169B8" w:rsidRDefault="00104C45">
      <w:pPr>
        <w:spacing w:line="600" w:lineRule="exact"/>
        <w:ind w:firstLineChars="200" w:firstLine="640"/>
        <w:rPr>
          <w:rFonts w:eastAsia="仿宋_GB2312"/>
          <w:sz w:val="32"/>
          <w:szCs w:val="32"/>
        </w:rPr>
      </w:pPr>
      <w:r>
        <w:rPr>
          <w:rFonts w:eastAsia="仿宋_GB2312" w:hint="eastAsia"/>
          <w:sz w:val="32"/>
          <w:szCs w:val="32"/>
        </w:rPr>
        <w:lastRenderedPageBreak/>
        <w:t>2023</w:t>
      </w:r>
      <w:r>
        <w:rPr>
          <w:rFonts w:eastAsia="仿宋_GB2312" w:hint="eastAsia"/>
          <w:sz w:val="32"/>
          <w:szCs w:val="32"/>
        </w:rPr>
        <w:t>年全年期间皆可缴费，集中缴费时间为</w:t>
      </w:r>
      <w:r>
        <w:rPr>
          <w:rFonts w:eastAsia="仿宋_GB2312" w:hint="eastAsia"/>
          <w:sz w:val="32"/>
          <w:szCs w:val="32"/>
        </w:rPr>
        <w:t>7</w:t>
      </w:r>
      <w:r>
        <w:rPr>
          <w:rFonts w:eastAsia="仿宋_GB2312" w:hint="eastAsia"/>
          <w:sz w:val="32"/>
          <w:szCs w:val="32"/>
        </w:rPr>
        <w:t>月</w:t>
      </w:r>
      <w:r>
        <w:rPr>
          <w:rFonts w:eastAsia="仿宋_GB2312" w:hint="eastAsia"/>
          <w:sz w:val="32"/>
          <w:szCs w:val="32"/>
        </w:rPr>
        <w:t>1</w:t>
      </w:r>
      <w:r>
        <w:rPr>
          <w:rFonts w:eastAsia="仿宋_GB2312" w:hint="eastAsia"/>
          <w:sz w:val="32"/>
          <w:szCs w:val="32"/>
        </w:rPr>
        <w:t>日至</w:t>
      </w:r>
      <w:r>
        <w:rPr>
          <w:rFonts w:eastAsia="仿宋_GB2312" w:hint="eastAsia"/>
          <w:sz w:val="32"/>
          <w:szCs w:val="32"/>
        </w:rPr>
        <w:t>9</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p>
    <w:p w:rsidR="00F169B8" w:rsidRDefault="00104C4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（四）缴费渠道</w:t>
      </w:r>
    </w:p>
    <w:p w:rsidR="00F169B8" w:rsidRDefault="00104C45">
      <w:pPr>
        <w:spacing w:line="600" w:lineRule="exact"/>
        <w:ind w:firstLineChars="200" w:firstLine="640"/>
        <w:rPr>
          <w:rFonts w:eastAsia="仿宋_GB2312"/>
          <w:sz w:val="32"/>
          <w:szCs w:val="32"/>
        </w:rPr>
      </w:pPr>
      <w:r>
        <w:rPr>
          <w:rFonts w:eastAsia="仿宋_GB2312" w:hint="eastAsia"/>
          <w:sz w:val="32"/>
          <w:szCs w:val="32"/>
        </w:rPr>
        <w:t>以掌上缴费为主，银行批扣、税务窗口缴费为辅。当年度正常缴费的参保居民可视情况自行选择缴费方式，往期费款补缴（含中断补缴和一次性补缴）必须到市税务局办税窗口办理。</w:t>
      </w:r>
    </w:p>
    <w:p w:rsidR="00F169B8" w:rsidRDefault="00104C45">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hint="eastAsia"/>
          <w:sz w:val="32"/>
          <w:szCs w:val="32"/>
        </w:rPr>
        <w:t>掌上自助缴费：参保居民可扫二维码进行缴费，也可关注“福建税务”微信公众号或下载闽税通</w:t>
      </w:r>
      <w:r>
        <w:rPr>
          <w:rFonts w:eastAsia="仿宋_GB2312" w:hint="eastAsia"/>
          <w:sz w:val="32"/>
          <w:szCs w:val="32"/>
        </w:rPr>
        <w:t>APP</w:t>
      </w:r>
      <w:r>
        <w:rPr>
          <w:rFonts w:eastAsia="仿宋_GB2312" w:hint="eastAsia"/>
          <w:sz w:val="32"/>
          <w:szCs w:val="32"/>
        </w:rPr>
        <w:t>，</w:t>
      </w:r>
      <w:r>
        <w:rPr>
          <w:rFonts w:eastAsia="仿宋_GB2312" w:hint="eastAsia"/>
          <w:sz w:val="32"/>
          <w:szCs w:val="32"/>
        </w:rPr>
        <w:t>在指定入口按照提示完成掌上自助缴费</w:t>
      </w:r>
      <w:r>
        <w:rPr>
          <w:rFonts w:eastAsia="仿宋_GB2312" w:hint="eastAsia"/>
          <w:sz w:val="32"/>
          <w:szCs w:val="32"/>
        </w:rPr>
        <w:t>。</w:t>
      </w:r>
    </w:p>
    <w:p w:rsidR="00F169B8" w:rsidRDefault="00104C45">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hint="eastAsia"/>
          <w:sz w:val="32"/>
          <w:szCs w:val="32"/>
        </w:rPr>
        <w:t>税务窗口缴费：参保居民（或代办人）可持缴费人身份证复印件及有银联标识的银行卡，到市税务局各办税服务厅办理缴费（限缴纳本年度费款，可刷卡）</w:t>
      </w:r>
      <w:r>
        <w:rPr>
          <w:rFonts w:eastAsia="仿宋_GB2312" w:hint="eastAsia"/>
          <w:sz w:val="32"/>
          <w:szCs w:val="32"/>
        </w:rPr>
        <w:t>；</w:t>
      </w:r>
      <w:r>
        <w:rPr>
          <w:rFonts w:eastAsia="仿宋_GB2312" w:hint="eastAsia"/>
          <w:sz w:val="32"/>
          <w:szCs w:val="32"/>
        </w:rPr>
        <w:t>参保居民（或代办人）也可持缴费人身份证复印件及缴费人本人的农业银行或农商银行卡（有账号即可）到市税务局各分局（所）办税窗口办理缴费（从账户划款，可缴纳本年度费款及补缴，非刷卡）。</w:t>
      </w:r>
    </w:p>
    <w:p w:rsidR="00F169B8" w:rsidRDefault="00104C45">
      <w:pPr>
        <w:spacing w:line="600" w:lineRule="exact"/>
        <w:ind w:firstLineChars="200" w:firstLine="640"/>
        <w:rPr>
          <w:rFonts w:eastAsia="仿宋_GB2312"/>
          <w:sz w:val="32"/>
          <w:szCs w:val="32"/>
        </w:rPr>
      </w:pPr>
      <w:r>
        <w:rPr>
          <w:rFonts w:eastAsia="仿宋_GB2312" w:hint="eastAsia"/>
          <w:sz w:val="32"/>
          <w:szCs w:val="32"/>
        </w:rPr>
        <w:t>3</w:t>
      </w:r>
      <w:r w:rsidR="00264D32">
        <w:rPr>
          <w:rFonts w:eastAsia="仿宋_GB2312" w:hint="eastAsia"/>
          <w:sz w:val="32"/>
          <w:szCs w:val="32"/>
        </w:rPr>
        <w:t>．</w:t>
      </w:r>
      <w:r>
        <w:rPr>
          <w:rFonts w:eastAsia="仿宋_GB2312" w:hint="eastAsia"/>
          <w:sz w:val="32"/>
          <w:szCs w:val="32"/>
        </w:rPr>
        <w:t>银行批量扣款：已签订委托扣款协议的参保居民可将足额费款存入已签约授权的农商银行账户，定期进行批量扣款。</w:t>
      </w:r>
    </w:p>
    <w:p w:rsidR="00F169B8" w:rsidRDefault="00104C4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（五）缴费相关业务办理</w:t>
      </w:r>
    </w:p>
    <w:p w:rsidR="00F169B8" w:rsidRDefault="00104C45">
      <w:pPr>
        <w:spacing w:line="600" w:lineRule="exact"/>
        <w:ind w:firstLineChars="200" w:firstLine="640"/>
        <w:rPr>
          <w:rFonts w:eastAsia="仿宋_GB2312"/>
          <w:sz w:val="32"/>
          <w:szCs w:val="32"/>
        </w:rPr>
      </w:pPr>
      <w:r>
        <w:rPr>
          <w:rFonts w:eastAsia="仿宋_GB2312" w:hint="eastAsia"/>
          <w:sz w:val="32"/>
          <w:szCs w:val="32"/>
        </w:rPr>
        <w:t>1</w:t>
      </w:r>
      <w:r w:rsidR="00264D32">
        <w:rPr>
          <w:rFonts w:eastAsia="仿宋_GB2312" w:hint="eastAsia"/>
          <w:sz w:val="32"/>
          <w:szCs w:val="32"/>
        </w:rPr>
        <w:t>．</w:t>
      </w:r>
      <w:r>
        <w:rPr>
          <w:rFonts w:eastAsia="仿宋_GB2312" w:hint="eastAsia"/>
          <w:sz w:val="32"/>
          <w:szCs w:val="32"/>
        </w:rPr>
        <w:t>变更缴费档次：缴费人本年度缴费前可通过手机端</w:t>
      </w:r>
      <w:r>
        <w:rPr>
          <w:rFonts w:eastAsia="仿宋_GB2312" w:hint="eastAsia"/>
          <w:sz w:val="32"/>
          <w:szCs w:val="32"/>
        </w:rPr>
        <w:t>&lt;</w:t>
      </w:r>
      <w:r>
        <w:rPr>
          <w:rFonts w:eastAsia="仿宋_GB2312" w:hint="eastAsia"/>
          <w:sz w:val="32"/>
          <w:szCs w:val="32"/>
        </w:rPr>
        <w:t>缴费金额确认</w:t>
      </w:r>
      <w:r>
        <w:rPr>
          <w:rFonts w:eastAsia="仿宋_GB2312" w:hint="eastAsia"/>
          <w:sz w:val="32"/>
          <w:szCs w:val="32"/>
        </w:rPr>
        <w:t>&gt;</w:t>
      </w:r>
      <w:r>
        <w:rPr>
          <w:rFonts w:eastAsia="仿宋_GB2312" w:hint="eastAsia"/>
          <w:sz w:val="32"/>
          <w:szCs w:val="32"/>
        </w:rPr>
        <w:t>修改缴费档次并进行缴费；缴费后需要提高档次</w:t>
      </w:r>
      <w:r>
        <w:rPr>
          <w:rFonts w:eastAsia="仿宋_GB2312" w:hint="eastAsia"/>
          <w:sz w:val="32"/>
          <w:szCs w:val="32"/>
        </w:rPr>
        <w:lastRenderedPageBreak/>
        <w:t>并补缴差额的，可再次进入手机端选择新的档次并进行差额补缴。参保居民（或代办人）也可持缴费人身份证复印件到税务局办税窗口填写《变更缴费档次申请表》办理变更缴费档次。</w:t>
      </w:r>
    </w:p>
    <w:p w:rsidR="00F169B8" w:rsidRDefault="00104C45">
      <w:pPr>
        <w:spacing w:line="600" w:lineRule="exact"/>
        <w:ind w:firstLineChars="200" w:firstLine="640"/>
        <w:rPr>
          <w:rFonts w:eastAsia="仿宋_GB2312"/>
          <w:sz w:val="32"/>
          <w:szCs w:val="32"/>
        </w:rPr>
      </w:pPr>
      <w:r>
        <w:rPr>
          <w:rFonts w:eastAsia="仿宋_GB2312" w:hint="eastAsia"/>
          <w:sz w:val="32"/>
          <w:szCs w:val="32"/>
        </w:rPr>
        <w:t>2</w:t>
      </w:r>
      <w:r w:rsidR="00264D32">
        <w:rPr>
          <w:rFonts w:eastAsia="仿宋_GB2312" w:hint="eastAsia"/>
          <w:sz w:val="32"/>
          <w:szCs w:val="32"/>
        </w:rPr>
        <w:t>．</w:t>
      </w:r>
      <w:r>
        <w:rPr>
          <w:rFonts w:eastAsia="仿宋_GB2312" w:hint="eastAsia"/>
          <w:sz w:val="32"/>
          <w:szCs w:val="32"/>
        </w:rPr>
        <w:t>暂停批扣缴费：为避免同时参加城镇职工养老保险或机关事业单位基本养老保险或灵活就业人员养老保险的缴费人重复缴纳居民养老保险，已办理银行批扣的重复参保的居民养老参保人可持本人身份证复印件到市农商银行各网点办理解除批扣协议（须本人办理）</w:t>
      </w:r>
      <w:r>
        <w:rPr>
          <w:rFonts w:eastAsia="仿宋_GB2312" w:hint="eastAsia"/>
          <w:sz w:val="32"/>
          <w:szCs w:val="32"/>
        </w:rPr>
        <w:t>，</w:t>
      </w:r>
      <w:r>
        <w:rPr>
          <w:rFonts w:eastAsia="仿宋_GB2312" w:hint="eastAsia"/>
          <w:sz w:val="32"/>
          <w:szCs w:val="32"/>
        </w:rPr>
        <w:t>或持缴费人身份证复印件到市税务局窗口取消协议。税务局将不</w:t>
      </w:r>
      <w:r>
        <w:rPr>
          <w:rFonts w:eastAsia="仿宋_GB2312" w:hint="eastAsia"/>
          <w:sz w:val="32"/>
          <w:szCs w:val="32"/>
        </w:rPr>
        <w:t>会对该部分人员发起银行批扣，暂停批扣缴费人员仍可通过其他渠道自主缴费。</w:t>
      </w:r>
    </w:p>
    <w:p w:rsidR="00F169B8" w:rsidRDefault="00104C45">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批扣协议签订：缴费人拟采取</w:t>
      </w:r>
      <w:bookmarkStart w:id="0" w:name="_GoBack"/>
      <w:bookmarkEnd w:id="0"/>
      <w:r>
        <w:rPr>
          <w:rFonts w:eastAsia="仿宋_GB2312" w:hint="eastAsia"/>
          <w:sz w:val="32"/>
          <w:szCs w:val="32"/>
        </w:rPr>
        <w:t>银行批扣方式缴费的，可由缴费人本人持身份证原件、晋江农商银行银行卡前往农商银行各网点签订委托扣款协议，或持缴费人身份证复印件、本人农商银行卡（账号）到税务局窗口办理批扣协议。</w:t>
      </w:r>
    </w:p>
    <w:p w:rsidR="00F169B8" w:rsidRDefault="00104C45">
      <w:pPr>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hint="eastAsia"/>
          <w:sz w:val="32"/>
          <w:szCs w:val="32"/>
        </w:rPr>
        <w:t>变更缴费账户：缴费人本人持身份证原件及新的农商银行卡到晋江农商银行各网点办理变更委托扣款协议，或持缴费人身份证复印件、本人农行或农商银行卡（账号）到税务局窗口办理批扣协议变更。</w:t>
      </w:r>
    </w:p>
    <w:p w:rsidR="00F169B8" w:rsidRDefault="00104C4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二、保障措施</w:t>
      </w:r>
    </w:p>
    <w:p w:rsidR="00F169B8" w:rsidRDefault="00104C45">
      <w:pPr>
        <w:spacing w:line="600" w:lineRule="exact"/>
        <w:ind w:firstLineChars="200" w:firstLine="640"/>
        <w:rPr>
          <w:rFonts w:eastAsia="仿宋_GB2312"/>
          <w:sz w:val="32"/>
          <w:szCs w:val="32"/>
        </w:rPr>
      </w:pPr>
      <w:r>
        <w:rPr>
          <w:rFonts w:ascii="楷体_GB2312" w:eastAsia="楷体_GB2312" w:hAnsi="楷体_GB2312" w:cs="楷体_GB2312" w:hint="eastAsia"/>
          <w:sz w:val="32"/>
          <w:szCs w:val="32"/>
        </w:rPr>
        <w:t>（一）组织领导。</w:t>
      </w:r>
      <w:r>
        <w:rPr>
          <w:rFonts w:eastAsia="仿宋_GB2312" w:hint="eastAsia"/>
          <w:sz w:val="32"/>
          <w:szCs w:val="32"/>
        </w:rPr>
        <w:t>各村（社区）要高度重视参（续）保缴费工作，成立以村（社区）主要领导为组长的城乡居民养老保险征缴领导小组，把征缴工作作为当前一项中心工作，及时传达相关文件精神，精心制定保费收缴方案，组织村（社区）干部进村入户、集中时间，集中力量，分类实施，确保按时完成任务。</w:t>
      </w:r>
    </w:p>
    <w:p w:rsidR="00F169B8" w:rsidRDefault="00104C45">
      <w:pPr>
        <w:spacing w:line="600" w:lineRule="exact"/>
        <w:ind w:firstLineChars="200" w:firstLine="640"/>
        <w:rPr>
          <w:rFonts w:eastAsia="仿宋_GB2312"/>
          <w:sz w:val="32"/>
          <w:szCs w:val="32"/>
        </w:rPr>
      </w:pPr>
      <w:r>
        <w:rPr>
          <w:rFonts w:ascii="楷体_GB2312" w:eastAsia="楷体_GB2312" w:hAnsi="楷体_GB2312" w:cs="楷体_GB2312" w:hint="eastAsia"/>
          <w:sz w:val="32"/>
          <w:szCs w:val="32"/>
        </w:rPr>
        <w:t>（二）宣传发动。</w:t>
      </w:r>
      <w:r>
        <w:rPr>
          <w:rFonts w:eastAsia="仿宋_GB2312" w:hint="eastAsia"/>
          <w:sz w:val="32"/>
          <w:szCs w:val="32"/>
        </w:rPr>
        <w:t>村（社区）要通过手机短信、微信平台、入户宣传等多种形式，大力宣传城乡居民基本养老保险的政策规定，把宣传工作做深、做实、做细，让群众掌握理解“多缴多得、长缴多得”的政策，努力营造氛围，充分调动城乡居民参保缴费积极性。</w:t>
      </w:r>
    </w:p>
    <w:p w:rsidR="00F169B8" w:rsidRDefault="00104C45">
      <w:pPr>
        <w:spacing w:line="600" w:lineRule="exact"/>
        <w:ind w:firstLineChars="200" w:firstLine="640"/>
        <w:rPr>
          <w:rFonts w:eastAsia="仿宋_GB2312"/>
          <w:sz w:val="32"/>
          <w:szCs w:val="32"/>
        </w:rPr>
      </w:pPr>
      <w:r>
        <w:rPr>
          <w:rFonts w:ascii="楷体_GB2312" w:eastAsia="楷体_GB2312" w:hAnsi="楷体_GB2312" w:cs="楷体_GB2312" w:hint="eastAsia"/>
          <w:sz w:val="32"/>
          <w:szCs w:val="32"/>
        </w:rPr>
        <w:t>（三）绩效考核。</w:t>
      </w:r>
      <w:r>
        <w:rPr>
          <w:rFonts w:eastAsia="仿宋_GB2312" w:hint="eastAsia"/>
          <w:sz w:val="32"/>
          <w:szCs w:val="32"/>
        </w:rPr>
        <w:t>城乡居</w:t>
      </w:r>
      <w:r>
        <w:rPr>
          <w:rFonts w:eastAsia="仿宋_GB2312" w:hint="eastAsia"/>
          <w:sz w:val="32"/>
          <w:szCs w:val="32"/>
        </w:rPr>
        <w:t>民养老保险征缴工作纳入年度村（社区）两委班子绩效考评，税务分局定期通报征缴进度，组织人员深入村（社区）指导解决征缴过程遇到的困难和问题。</w:t>
      </w:r>
    </w:p>
    <w:p w:rsidR="00F169B8" w:rsidRDefault="00F169B8">
      <w:pPr>
        <w:spacing w:line="600" w:lineRule="exact"/>
        <w:ind w:rightChars="800" w:right="1680" w:firstLine="646"/>
        <w:jc w:val="right"/>
        <w:rPr>
          <w:rFonts w:eastAsia="仿宋_GB2312"/>
          <w:sz w:val="32"/>
          <w:szCs w:val="32"/>
        </w:rPr>
      </w:pPr>
    </w:p>
    <w:p w:rsidR="00F169B8" w:rsidRDefault="00104C45">
      <w:pPr>
        <w:spacing w:line="600" w:lineRule="exact"/>
        <w:ind w:rightChars="800" w:right="1680" w:firstLine="646"/>
        <w:jc w:val="left"/>
        <w:rPr>
          <w:rFonts w:eastAsia="仿宋_GB2312"/>
          <w:sz w:val="32"/>
          <w:szCs w:val="32"/>
        </w:rPr>
      </w:pPr>
      <w:r>
        <w:rPr>
          <w:rFonts w:eastAsia="仿宋_GB2312" w:hint="eastAsia"/>
          <w:sz w:val="32"/>
          <w:szCs w:val="32"/>
        </w:rPr>
        <w:t>附件：掌上自助缴费二维码</w:t>
      </w: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104C45">
      <w:pPr>
        <w:spacing w:line="600" w:lineRule="exact"/>
        <w:ind w:rightChars="800" w:right="1680" w:firstLine="646"/>
        <w:jc w:val="left"/>
        <w:rPr>
          <w:rFonts w:ascii="黑体" w:eastAsia="黑体" w:hAnsi="黑体" w:cs="黑体"/>
          <w:sz w:val="32"/>
          <w:szCs w:val="32"/>
        </w:rPr>
      </w:pPr>
      <w:r>
        <w:rPr>
          <w:rFonts w:ascii="黑体" w:eastAsia="黑体" w:hAnsi="黑体" w:cs="黑体" w:hint="eastAsia"/>
          <w:sz w:val="32"/>
          <w:szCs w:val="32"/>
        </w:rPr>
        <w:t>附件</w:t>
      </w:r>
    </w:p>
    <w:p w:rsidR="00F169B8" w:rsidRDefault="00F169B8">
      <w:pPr>
        <w:spacing w:line="600" w:lineRule="exact"/>
        <w:ind w:rightChars="800" w:right="1680" w:firstLine="646"/>
        <w:jc w:val="left"/>
        <w:rPr>
          <w:rFonts w:eastAsia="仿宋_GB2312"/>
          <w:sz w:val="32"/>
          <w:szCs w:val="32"/>
        </w:rPr>
      </w:pPr>
    </w:p>
    <w:p w:rsidR="00F169B8" w:rsidRDefault="00104C45">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掌上自助缴费二维码</w:t>
      </w: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r>
        <w:rPr>
          <w:rFonts w:eastAsia="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3" o:spid="_x0000_s1027" type="#_x0000_t75" alt="" style="position:absolute;left:0;text-align:left;margin-left:101.8pt;margin-top:206.45pt;width:375.8pt;height:352.65pt;z-index:251659264;mso-position-horizontal-relative:page;mso-position-vertical-relative:page;mso-width-relative:page;mso-height-relative:page" o:allowincell="f">
            <v:imagedata r:id="rId7" o:title="" croptop="2356f" cropleft="1433f"/>
            <o:lock v:ext="edit" aspectratio="f"/>
            <w10:wrap anchorx="page" anchory="page"/>
          </v:shape>
        </w:pict>
      </w: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600" w:lineRule="exact"/>
        <w:ind w:rightChars="800" w:right="1680" w:firstLine="646"/>
        <w:jc w:val="right"/>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hint="eastAsia"/>
          <w:sz w:val="32"/>
          <w:szCs w:val="32"/>
        </w:rPr>
      </w:pPr>
    </w:p>
    <w:p w:rsidR="00264D32" w:rsidRDefault="00264D32">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F169B8">
      <w:pPr>
        <w:spacing w:line="20" w:lineRule="exact"/>
        <w:ind w:right="799"/>
        <w:textAlignment w:val="baseline"/>
        <w:rPr>
          <w:rFonts w:eastAsia="仿宋_GB2312"/>
          <w:sz w:val="32"/>
          <w:szCs w:val="32"/>
        </w:rPr>
      </w:pPr>
    </w:p>
    <w:p w:rsidR="00F169B8" w:rsidRDefault="00104C45">
      <w:pPr>
        <w:pStyle w:val="a5"/>
        <w:spacing w:line="160" w:lineRule="exact"/>
        <w:rPr>
          <w:rFonts w:ascii="Times New Roman" w:eastAsia="仿宋_GB2312" w:hAnsi="Times New Roman"/>
          <w:sz w:val="32"/>
        </w:rPr>
      </w:pPr>
      <w:r>
        <w:rPr>
          <w:rFonts w:ascii="Times New Roman" w:eastAsia="仿宋_GB2312" w:hAnsi="Times New Roman"/>
          <w:sz w:val="32"/>
        </w:rPr>
        <w:t>─────────────────────────────────────</w:t>
      </w:r>
    </w:p>
    <w:p w:rsidR="00F169B8" w:rsidRDefault="00104C45">
      <w:pPr>
        <w:spacing w:line="400" w:lineRule="exact"/>
        <w:ind w:leftChars="150" w:left="1155" w:rightChars="150" w:right="315" w:hangingChars="300" w:hanging="840"/>
        <w:rPr>
          <w:rFonts w:eastAsia="仿宋_GB2312"/>
          <w:sz w:val="28"/>
          <w:szCs w:val="28"/>
        </w:rPr>
      </w:pPr>
      <w:r>
        <w:rPr>
          <w:rFonts w:eastAsia="仿宋_GB2312" w:hint="eastAsia"/>
          <w:sz w:val="28"/>
          <w:szCs w:val="28"/>
        </w:rPr>
        <w:t>晋江市磁灶镇人民政府</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sidR="00DF5CE9">
        <w:rPr>
          <w:rFonts w:eastAsia="仿宋_GB2312" w:hint="eastAsia"/>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w:t>
      </w:r>
      <w:r>
        <w:rPr>
          <w:rFonts w:eastAsia="仿宋_GB2312" w:hint="eastAsia"/>
          <w:sz w:val="28"/>
          <w:szCs w:val="28"/>
        </w:rPr>
        <w:t>3</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sidR="00DF5CE9">
        <w:rPr>
          <w:rFonts w:eastAsia="仿宋_GB2312" w:hint="eastAsia"/>
          <w:sz w:val="28"/>
          <w:szCs w:val="28"/>
        </w:rPr>
        <w:t>12</w:t>
      </w:r>
      <w:r>
        <w:rPr>
          <w:rFonts w:eastAsia="仿宋_GB2312" w:hint="eastAsia"/>
          <w:sz w:val="28"/>
          <w:szCs w:val="28"/>
        </w:rPr>
        <w:t>日印发</w:t>
      </w:r>
    </w:p>
    <w:p w:rsidR="00F169B8" w:rsidRDefault="00104C45">
      <w:pPr>
        <w:pStyle w:val="a5"/>
        <w:spacing w:line="160" w:lineRule="exact"/>
        <w:rPr>
          <w:rFonts w:ascii="Times New Roman" w:eastAsia="仿宋_GB2312" w:hAnsi="Times New Roman"/>
          <w:sz w:val="32"/>
        </w:rPr>
      </w:pPr>
      <w:r>
        <w:rPr>
          <w:rFonts w:ascii="Times New Roman" w:eastAsia="仿宋_GB2312" w:hAnsi="Times New Roman"/>
          <w:sz w:val="32"/>
        </w:rPr>
        <w:t>─────────────────────────────────────</w:t>
      </w:r>
    </w:p>
    <w:sectPr w:rsidR="00F169B8" w:rsidSect="00F169B8">
      <w:footerReference w:type="even" r:id="rId8"/>
      <w:footerReference w:type="default" r:id="rId9"/>
      <w:pgSz w:w="11907" w:h="16840"/>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9B8" w:rsidRDefault="00F169B8" w:rsidP="00F169B8">
      <w:r>
        <w:separator/>
      </w:r>
    </w:p>
  </w:endnote>
  <w:endnote w:type="continuationSeparator" w:id="0">
    <w:p w:rsidR="00F169B8" w:rsidRDefault="00F169B8" w:rsidP="00F16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B8" w:rsidRDefault="00104C45">
    <w:pPr>
      <w:pStyle w:val="a8"/>
      <w:framePr w:w="1627" w:wrap="around" w:vAnchor="text" w:hAnchor="margin" w:xAlign="outside" w:yAlign="top"/>
      <w:ind w:leftChars="150" w:left="315"/>
      <w:rPr>
        <w:rStyle w:val="ab"/>
        <w:rFonts w:ascii="宋体" w:hAnsi="宋体"/>
        <w:sz w:val="28"/>
        <w:szCs w:val="28"/>
      </w:rPr>
    </w:pPr>
    <w:r>
      <w:rPr>
        <w:rStyle w:val="ab"/>
        <w:rFonts w:ascii="宋体" w:hAnsi="宋体" w:hint="eastAsia"/>
        <w:sz w:val="28"/>
        <w:szCs w:val="28"/>
      </w:rPr>
      <w:t>—</w:t>
    </w:r>
    <w:r>
      <w:rPr>
        <w:rStyle w:val="ab"/>
        <w:rFonts w:ascii="宋体" w:hAnsi="宋体" w:hint="eastAsia"/>
        <w:sz w:val="28"/>
        <w:szCs w:val="28"/>
      </w:rPr>
      <w:t xml:space="preserve"> </w:t>
    </w:r>
    <w:r w:rsidR="00F169B8">
      <w:rPr>
        <w:rStyle w:val="ab"/>
        <w:rFonts w:ascii="仿宋_GB2312" w:eastAsia="仿宋_GB2312" w:hAnsi="宋体" w:hint="eastAsia"/>
        <w:sz w:val="28"/>
        <w:szCs w:val="28"/>
      </w:rPr>
      <w:fldChar w:fldCharType="begin"/>
    </w:r>
    <w:r>
      <w:rPr>
        <w:rStyle w:val="ab"/>
        <w:rFonts w:ascii="仿宋_GB2312" w:eastAsia="仿宋_GB2312" w:hAnsi="宋体" w:hint="eastAsia"/>
        <w:sz w:val="28"/>
        <w:szCs w:val="28"/>
      </w:rPr>
      <w:instrText xml:space="preserve">PAGE  </w:instrText>
    </w:r>
    <w:r w:rsidR="00F169B8">
      <w:rPr>
        <w:rStyle w:val="ab"/>
        <w:rFonts w:ascii="仿宋_GB2312" w:eastAsia="仿宋_GB2312" w:hAnsi="宋体" w:hint="eastAsia"/>
        <w:sz w:val="28"/>
        <w:szCs w:val="28"/>
      </w:rPr>
      <w:fldChar w:fldCharType="separate"/>
    </w:r>
    <w:r>
      <w:rPr>
        <w:rStyle w:val="ab"/>
        <w:rFonts w:ascii="仿宋_GB2312" w:eastAsia="仿宋_GB2312" w:hAnsi="宋体"/>
        <w:noProof/>
        <w:sz w:val="28"/>
        <w:szCs w:val="28"/>
      </w:rPr>
      <w:t>2</w:t>
    </w:r>
    <w:r w:rsidR="00F169B8">
      <w:rPr>
        <w:rStyle w:val="ab"/>
        <w:rFonts w:ascii="仿宋_GB2312" w:eastAsia="仿宋_GB2312" w:hAnsi="宋体" w:hint="eastAsia"/>
        <w:sz w:val="28"/>
        <w:szCs w:val="28"/>
      </w:rPr>
      <w:fldChar w:fldCharType="end"/>
    </w:r>
    <w:r>
      <w:rPr>
        <w:rStyle w:val="ab"/>
        <w:rFonts w:ascii="宋体" w:hAnsi="宋体" w:hint="eastAsia"/>
        <w:sz w:val="28"/>
        <w:szCs w:val="28"/>
      </w:rPr>
      <w:t xml:space="preserve"> </w:t>
    </w:r>
    <w:r>
      <w:rPr>
        <w:rStyle w:val="ab"/>
        <w:rFonts w:ascii="宋体" w:hAnsi="宋体" w:hint="eastAsia"/>
        <w:sz w:val="28"/>
        <w:szCs w:val="28"/>
      </w:rPr>
      <w:t>—</w:t>
    </w:r>
  </w:p>
  <w:p w:rsidR="00F169B8" w:rsidRDefault="00F169B8">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B8" w:rsidRDefault="00104C45">
    <w:pPr>
      <w:pStyle w:val="a8"/>
      <w:framePr w:w="1435" w:wrap="around" w:vAnchor="text" w:hAnchor="page" w:x="8722" w:y="56"/>
      <w:ind w:rightChars="150" w:right="315"/>
      <w:jc w:val="right"/>
      <w:rPr>
        <w:rStyle w:val="ab"/>
        <w:rFonts w:ascii="宋体" w:hAnsi="宋体"/>
        <w:sz w:val="28"/>
        <w:szCs w:val="28"/>
      </w:rPr>
    </w:pPr>
    <w:r>
      <w:rPr>
        <w:rStyle w:val="ab"/>
        <w:rFonts w:ascii="宋体" w:hAnsi="宋体" w:hint="eastAsia"/>
        <w:sz w:val="28"/>
        <w:szCs w:val="28"/>
      </w:rPr>
      <w:t>—</w:t>
    </w:r>
    <w:r>
      <w:rPr>
        <w:rStyle w:val="ab"/>
        <w:rFonts w:ascii="宋体" w:hAnsi="宋体" w:hint="eastAsia"/>
        <w:sz w:val="28"/>
        <w:szCs w:val="28"/>
      </w:rPr>
      <w:t xml:space="preserve"> </w:t>
    </w:r>
    <w:r w:rsidR="00F169B8">
      <w:rPr>
        <w:rStyle w:val="ab"/>
        <w:rFonts w:ascii="仿宋_GB2312" w:eastAsia="仿宋_GB2312" w:hAnsi="宋体" w:hint="eastAsia"/>
        <w:sz w:val="28"/>
        <w:szCs w:val="28"/>
      </w:rPr>
      <w:fldChar w:fldCharType="begin"/>
    </w:r>
    <w:r>
      <w:rPr>
        <w:rStyle w:val="ab"/>
        <w:rFonts w:ascii="仿宋_GB2312" w:eastAsia="仿宋_GB2312" w:hAnsi="宋体" w:hint="eastAsia"/>
        <w:sz w:val="28"/>
        <w:szCs w:val="28"/>
      </w:rPr>
      <w:instrText xml:space="preserve">PAGE  </w:instrText>
    </w:r>
    <w:r w:rsidR="00F169B8">
      <w:rPr>
        <w:rStyle w:val="ab"/>
        <w:rFonts w:ascii="仿宋_GB2312" w:eastAsia="仿宋_GB2312" w:hAnsi="宋体" w:hint="eastAsia"/>
        <w:sz w:val="28"/>
        <w:szCs w:val="28"/>
      </w:rPr>
      <w:fldChar w:fldCharType="separate"/>
    </w:r>
    <w:r>
      <w:rPr>
        <w:rStyle w:val="ab"/>
        <w:rFonts w:ascii="仿宋_GB2312" w:eastAsia="仿宋_GB2312" w:hAnsi="宋体"/>
        <w:noProof/>
        <w:sz w:val="28"/>
        <w:szCs w:val="28"/>
      </w:rPr>
      <w:t>1</w:t>
    </w:r>
    <w:r w:rsidR="00F169B8">
      <w:rPr>
        <w:rStyle w:val="ab"/>
        <w:rFonts w:ascii="仿宋_GB2312" w:eastAsia="仿宋_GB2312" w:hAnsi="宋体" w:hint="eastAsia"/>
        <w:sz w:val="28"/>
        <w:szCs w:val="28"/>
      </w:rPr>
      <w:fldChar w:fldCharType="end"/>
    </w:r>
    <w:r>
      <w:rPr>
        <w:rStyle w:val="ab"/>
        <w:rFonts w:ascii="宋体" w:hAnsi="宋体" w:hint="eastAsia"/>
        <w:sz w:val="28"/>
        <w:szCs w:val="28"/>
      </w:rPr>
      <w:t xml:space="preserve"> </w:t>
    </w:r>
    <w:r>
      <w:rPr>
        <w:rStyle w:val="ab"/>
        <w:rFonts w:ascii="宋体" w:hAnsi="宋体" w:hint="eastAsia"/>
        <w:sz w:val="28"/>
        <w:szCs w:val="28"/>
      </w:rPr>
      <w:t>—</w:t>
    </w:r>
  </w:p>
  <w:p w:rsidR="00F169B8" w:rsidRDefault="00F169B8">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9B8" w:rsidRDefault="00F169B8" w:rsidP="00F169B8">
      <w:r>
        <w:separator/>
      </w:r>
    </w:p>
  </w:footnote>
  <w:footnote w:type="continuationSeparator" w:id="0">
    <w:p w:rsidR="00F169B8" w:rsidRDefault="00F169B8" w:rsidP="00F16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oNotTrackMoves/>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lhNThkNDQ3ZjJlMjM3NWE3ZWQ5YTRkM2U1ZDRhNzIifQ=="/>
  </w:docVars>
  <w:rsids>
    <w:rsidRoot w:val="00096EF8"/>
    <w:rsid w:val="00000C0A"/>
    <w:rsid w:val="00032901"/>
    <w:rsid w:val="00047314"/>
    <w:rsid w:val="000675B0"/>
    <w:rsid w:val="00081380"/>
    <w:rsid w:val="00096EF8"/>
    <w:rsid w:val="00096F9A"/>
    <w:rsid w:val="000A2B44"/>
    <w:rsid w:val="000B6051"/>
    <w:rsid w:val="000B64A7"/>
    <w:rsid w:val="00103E2E"/>
    <w:rsid w:val="00104C45"/>
    <w:rsid w:val="0011760A"/>
    <w:rsid w:val="00134BD5"/>
    <w:rsid w:val="00172740"/>
    <w:rsid w:val="00185119"/>
    <w:rsid w:val="001A071C"/>
    <w:rsid w:val="001A2CB1"/>
    <w:rsid w:val="001B01B0"/>
    <w:rsid w:val="001E5D99"/>
    <w:rsid w:val="001E610E"/>
    <w:rsid w:val="001F189F"/>
    <w:rsid w:val="001F7388"/>
    <w:rsid w:val="002211B4"/>
    <w:rsid w:val="002358A2"/>
    <w:rsid w:val="00246F16"/>
    <w:rsid w:val="00257425"/>
    <w:rsid w:val="00264D32"/>
    <w:rsid w:val="002A221A"/>
    <w:rsid w:val="002D6B1D"/>
    <w:rsid w:val="002E2664"/>
    <w:rsid w:val="002F2253"/>
    <w:rsid w:val="002F6781"/>
    <w:rsid w:val="00331A23"/>
    <w:rsid w:val="003366B3"/>
    <w:rsid w:val="003435D4"/>
    <w:rsid w:val="003506F8"/>
    <w:rsid w:val="003541E0"/>
    <w:rsid w:val="003545F6"/>
    <w:rsid w:val="00395EBB"/>
    <w:rsid w:val="003A52F9"/>
    <w:rsid w:val="003B00B0"/>
    <w:rsid w:val="003C3E07"/>
    <w:rsid w:val="003C44B0"/>
    <w:rsid w:val="003C5688"/>
    <w:rsid w:val="003C71DF"/>
    <w:rsid w:val="003D1B08"/>
    <w:rsid w:val="003D6D9F"/>
    <w:rsid w:val="003E6291"/>
    <w:rsid w:val="003F1A4D"/>
    <w:rsid w:val="003F3252"/>
    <w:rsid w:val="00407C48"/>
    <w:rsid w:val="0042367B"/>
    <w:rsid w:val="0044110A"/>
    <w:rsid w:val="004615E5"/>
    <w:rsid w:val="0049276D"/>
    <w:rsid w:val="00493E65"/>
    <w:rsid w:val="00495277"/>
    <w:rsid w:val="004B130A"/>
    <w:rsid w:val="004B30A1"/>
    <w:rsid w:val="00510DA0"/>
    <w:rsid w:val="00520054"/>
    <w:rsid w:val="005303C0"/>
    <w:rsid w:val="00570095"/>
    <w:rsid w:val="005749DC"/>
    <w:rsid w:val="00586F93"/>
    <w:rsid w:val="005A2F83"/>
    <w:rsid w:val="005B3820"/>
    <w:rsid w:val="005D0B59"/>
    <w:rsid w:val="005D2D23"/>
    <w:rsid w:val="005E7F7A"/>
    <w:rsid w:val="00622CF7"/>
    <w:rsid w:val="00661539"/>
    <w:rsid w:val="00681C7B"/>
    <w:rsid w:val="006B5BEA"/>
    <w:rsid w:val="006C56BB"/>
    <w:rsid w:val="006E4820"/>
    <w:rsid w:val="006F5451"/>
    <w:rsid w:val="007104DC"/>
    <w:rsid w:val="007201FA"/>
    <w:rsid w:val="00723DA9"/>
    <w:rsid w:val="00730777"/>
    <w:rsid w:val="007548FD"/>
    <w:rsid w:val="007814B9"/>
    <w:rsid w:val="00785F07"/>
    <w:rsid w:val="00792868"/>
    <w:rsid w:val="007C5D9F"/>
    <w:rsid w:val="007E3B90"/>
    <w:rsid w:val="007F5A9A"/>
    <w:rsid w:val="008474C8"/>
    <w:rsid w:val="00865438"/>
    <w:rsid w:val="008815E7"/>
    <w:rsid w:val="00884BBD"/>
    <w:rsid w:val="00886AE9"/>
    <w:rsid w:val="008A5EB6"/>
    <w:rsid w:val="008D2B5A"/>
    <w:rsid w:val="008E0729"/>
    <w:rsid w:val="008E12CC"/>
    <w:rsid w:val="008E3B84"/>
    <w:rsid w:val="008E4260"/>
    <w:rsid w:val="008F0647"/>
    <w:rsid w:val="00905E4D"/>
    <w:rsid w:val="00971F7E"/>
    <w:rsid w:val="009826F7"/>
    <w:rsid w:val="009F1C2E"/>
    <w:rsid w:val="00A27A35"/>
    <w:rsid w:val="00A31191"/>
    <w:rsid w:val="00A3295D"/>
    <w:rsid w:val="00A34A0E"/>
    <w:rsid w:val="00A534BE"/>
    <w:rsid w:val="00A61FBA"/>
    <w:rsid w:val="00AB38A9"/>
    <w:rsid w:val="00AB7AC7"/>
    <w:rsid w:val="00AD7CDD"/>
    <w:rsid w:val="00AE020E"/>
    <w:rsid w:val="00AF2860"/>
    <w:rsid w:val="00AF6461"/>
    <w:rsid w:val="00B03437"/>
    <w:rsid w:val="00B20733"/>
    <w:rsid w:val="00B23691"/>
    <w:rsid w:val="00B27C9B"/>
    <w:rsid w:val="00B34548"/>
    <w:rsid w:val="00B46C6C"/>
    <w:rsid w:val="00B47E63"/>
    <w:rsid w:val="00B52356"/>
    <w:rsid w:val="00B8667A"/>
    <w:rsid w:val="00BA2881"/>
    <w:rsid w:val="00BC303A"/>
    <w:rsid w:val="00BC4653"/>
    <w:rsid w:val="00BF3BDF"/>
    <w:rsid w:val="00C42BFC"/>
    <w:rsid w:val="00C85BE4"/>
    <w:rsid w:val="00C86F3A"/>
    <w:rsid w:val="00CA13D2"/>
    <w:rsid w:val="00CA6AD1"/>
    <w:rsid w:val="00CD2A2B"/>
    <w:rsid w:val="00D03A3E"/>
    <w:rsid w:val="00D541D9"/>
    <w:rsid w:val="00D6798D"/>
    <w:rsid w:val="00D801BD"/>
    <w:rsid w:val="00DA2723"/>
    <w:rsid w:val="00DA3179"/>
    <w:rsid w:val="00DB4767"/>
    <w:rsid w:val="00DC70B0"/>
    <w:rsid w:val="00DF5CE9"/>
    <w:rsid w:val="00E16A9E"/>
    <w:rsid w:val="00E20217"/>
    <w:rsid w:val="00E422CA"/>
    <w:rsid w:val="00E4477B"/>
    <w:rsid w:val="00E50D10"/>
    <w:rsid w:val="00E70672"/>
    <w:rsid w:val="00E74F30"/>
    <w:rsid w:val="00E8129A"/>
    <w:rsid w:val="00E936A9"/>
    <w:rsid w:val="00EA3B5E"/>
    <w:rsid w:val="00EC3B72"/>
    <w:rsid w:val="00EC3B9C"/>
    <w:rsid w:val="00EE0DF5"/>
    <w:rsid w:val="00EF57BC"/>
    <w:rsid w:val="00F0199E"/>
    <w:rsid w:val="00F01DAC"/>
    <w:rsid w:val="00F13E0A"/>
    <w:rsid w:val="00F169B8"/>
    <w:rsid w:val="00F43493"/>
    <w:rsid w:val="00F45AEE"/>
    <w:rsid w:val="00F53D32"/>
    <w:rsid w:val="00F8303D"/>
    <w:rsid w:val="00F8704B"/>
    <w:rsid w:val="00F90D27"/>
    <w:rsid w:val="00FC30F9"/>
    <w:rsid w:val="00FE421E"/>
    <w:rsid w:val="00FF27C4"/>
    <w:rsid w:val="00FF7E7A"/>
    <w:rsid w:val="017B7C73"/>
    <w:rsid w:val="057B03A7"/>
    <w:rsid w:val="34E91A45"/>
    <w:rsid w:val="52067E19"/>
    <w:rsid w:val="6B4E79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9B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169B8"/>
    <w:pPr>
      <w:spacing w:line="400" w:lineRule="exact"/>
      <w:jc w:val="center"/>
    </w:pPr>
    <w:rPr>
      <w:rFonts w:ascii="宋体"/>
      <w:sz w:val="18"/>
    </w:rPr>
  </w:style>
  <w:style w:type="paragraph" w:styleId="a4">
    <w:name w:val="Body Text Indent"/>
    <w:basedOn w:val="a"/>
    <w:qFormat/>
    <w:rsid w:val="00F169B8"/>
    <w:pPr>
      <w:spacing w:after="120"/>
      <w:ind w:leftChars="200" w:left="420"/>
    </w:pPr>
  </w:style>
  <w:style w:type="paragraph" w:styleId="a5">
    <w:name w:val="Plain Text"/>
    <w:basedOn w:val="a"/>
    <w:rsid w:val="00F169B8"/>
    <w:rPr>
      <w:rFonts w:ascii="宋体" w:hAnsi="Courier New"/>
    </w:rPr>
  </w:style>
  <w:style w:type="paragraph" w:styleId="a6">
    <w:name w:val="Date"/>
    <w:basedOn w:val="a"/>
    <w:next w:val="a"/>
    <w:rsid w:val="00F169B8"/>
    <w:pPr>
      <w:ind w:leftChars="2500" w:left="100"/>
    </w:pPr>
  </w:style>
  <w:style w:type="paragraph" w:styleId="a7">
    <w:name w:val="Balloon Text"/>
    <w:basedOn w:val="a"/>
    <w:semiHidden/>
    <w:rsid w:val="00F169B8"/>
    <w:rPr>
      <w:sz w:val="18"/>
      <w:szCs w:val="18"/>
    </w:rPr>
  </w:style>
  <w:style w:type="paragraph" w:styleId="a8">
    <w:name w:val="footer"/>
    <w:basedOn w:val="a"/>
    <w:qFormat/>
    <w:rsid w:val="00F169B8"/>
    <w:pPr>
      <w:tabs>
        <w:tab w:val="center" w:pos="4153"/>
        <w:tab w:val="right" w:pos="8306"/>
      </w:tabs>
      <w:snapToGrid w:val="0"/>
      <w:jc w:val="left"/>
    </w:pPr>
    <w:rPr>
      <w:sz w:val="18"/>
    </w:rPr>
  </w:style>
  <w:style w:type="paragraph" w:styleId="a9">
    <w:name w:val="header"/>
    <w:basedOn w:val="a"/>
    <w:rsid w:val="00F169B8"/>
    <w:pPr>
      <w:pBdr>
        <w:bottom w:val="single" w:sz="6" w:space="1" w:color="auto"/>
      </w:pBdr>
      <w:tabs>
        <w:tab w:val="center" w:pos="4153"/>
        <w:tab w:val="right" w:pos="8306"/>
      </w:tabs>
      <w:snapToGrid w:val="0"/>
      <w:jc w:val="center"/>
    </w:pPr>
    <w:rPr>
      <w:sz w:val="18"/>
      <w:szCs w:val="18"/>
    </w:rPr>
  </w:style>
  <w:style w:type="paragraph" w:styleId="aa">
    <w:name w:val="Normal (Web)"/>
    <w:basedOn w:val="a"/>
    <w:rsid w:val="00F169B8"/>
    <w:pPr>
      <w:widowControl/>
      <w:spacing w:before="100" w:beforeAutospacing="1" w:after="100" w:afterAutospacing="1"/>
      <w:jc w:val="left"/>
    </w:pPr>
    <w:rPr>
      <w:rFonts w:ascii="宋体" w:hAnsi="宋体"/>
      <w:color w:val="000000"/>
      <w:kern w:val="0"/>
      <w:sz w:val="24"/>
    </w:rPr>
  </w:style>
  <w:style w:type="character" w:styleId="ab">
    <w:name w:val="page number"/>
    <w:basedOn w:val="a0"/>
    <w:rsid w:val="00F169B8"/>
  </w:style>
  <w:style w:type="paragraph" w:customStyle="1" w:styleId="CharChar">
    <w:name w:val="批注框文本 Char Char"/>
    <w:basedOn w:val="a"/>
    <w:qFormat/>
    <w:rsid w:val="00F169B8"/>
    <w:rPr>
      <w:sz w:val="18"/>
    </w:rPr>
  </w:style>
  <w:style w:type="paragraph" w:customStyle="1" w:styleId="Char">
    <w:name w:val="Char"/>
    <w:basedOn w:val="a"/>
    <w:rsid w:val="00F169B8"/>
    <w:pPr>
      <w:widowControl/>
      <w:spacing w:after="160" w:line="240" w:lineRule="exact"/>
      <w:jc w:val="left"/>
    </w:pPr>
    <w:rPr>
      <w:rFonts w:ascii="Verdana" w:eastAsia="仿宋_GB2312" w:hAnsi="Verdana"/>
      <w:kern w:val="0"/>
      <w:sz w:val="24"/>
      <w:lang w:eastAsia="en-US"/>
    </w:rPr>
  </w:style>
  <w:style w:type="paragraph" w:customStyle="1" w:styleId="Char1">
    <w:name w:val="Char1"/>
    <w:basedOn w:val="a"/>
    <w:rsid w:val="00F169B8"/>
    <w:pPr>
      <w:widowControl/>
      <w:spacing w:after="160" w:line="240" w:lineRule="exact"/>
      <w:jc w:val="left"/>
    </w:pPr>
    <w:rPr>
      <w:rFonts w:ascii="Verdana" w:eastAsia="仿宋_GB2312" w:hAnsi="Verdana"/>
      <w:kern w:val="0"/>
      <w:sz w:val="24"/>
      <w:lang w:eastAsia="en-US"/>
    </w:rPr>
  </w:style>
  <w:style w:type="paragraph" w:customStyle="1" w:styleId="Char2">
    <w:name w:val="Char2"/>
    <w:basedOn w:val="a"/>
    <w:rsid w:val="00F169B8"/>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25991;&#21360;&#23460;&#65288;1&#65289;\&#24635;&#25991;&#20214;&#22841;\2022&#24180;\&#25919;&#24220;&#21457;&#25991;\&#26187;&#30913;&#25919;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晋磁政2022</Template>
  <TotalTime>15</TotalTime>
  <Pages>6</Pages>
  <Words>1772</Words>
  <Characters>311</Characters>
  <Application>Microsoft Office Word</Application>
  <DocSecurity>0</DocSecurity>
  <Lines>2</Lines>
  <Paragraphs>4</Paragraphs>
  <ScaleCrop>false</ScaleCrop>
  <Company>磁灶镇政府</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10</cp:revision>
  <cp:lastPrinted>2023-07-20T01:30:00Z</cp:lastPrinted>
  <dcterms:created xsi:type="dcterms:W3CDTF">2022-01-07T01:21:00Z</dcterms:created>
  <dcterms:modified xsi:type="dcterms:W3CDTF">2023-07-20T01:30:00Z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E58B9AAA558640A0B427BD75CAE1E388_12</vt:lpwstr>
  </property>
</Properties>
</file>