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晋江市磁灶镇人民政府2019年政府信息公开年度报告</w:t>
      </w:r>
    </w:p>
    <w:p>
      <w:pPr>
        <w:widowControl/>
        <w:spacing w:line="560" w:lineRule="exact"/>
        <w:rPr>
          <w:rFonts w:hint="eastAsia" w:ascii="方正小标宋简体" w:hAnsi="方正小标宋简体" w:eastAsia="方正小标宋简体" w:cs="方正小标宋简体"/>
          <w:kern w:val="0"/>
          <w:sz w:val="44"/>
          <w:szCs w:val="44"/>
          <w:lang w:eastAsia="zh-CN"/>
        </w:rPr>
      </w:pPr>
    </w:p>
    <w:p>
      <w:pPr>
        <w:spacing w:line="560" w:lineRule="exact"/>
        <w:ind w:firstLine="640" w:firstLineChars="200"/>
        <w:rPr>
          <w:rFonts w:eastAsia="仿宋_GB2312"/>
          <w:sz w:val="32"/>
          <w:szCs w:val="32"/>
        </w:rPr>
      </w:pPr>
      <w:r>
        <w:rPr>
          <w:rFonts w:eastAsia="仿宋_GB2312"/>
          <w:sz w:val="32"/>
          <w:szCs w:val="32"/>
        </w:rPr>
        <w:t>根据《中华人民共和国政府信息公开条例》和</w:t>
      </w:r>
      <w:r>
        <w:rPr>
          <w:rFonts w:hint="eastAsia" w:eastAsia="仿宋_GB2312"/>
          <w:sz w:val="32"/>
          <w:szCs w:val="32"/>
        </w:rPr>
        <w:t>《晋江市201</w:t>
      </w:r>
      <w:r>
        <w:rPr>
          <w:rFonts w:hint="eastAsia" w:eastAsia="仿宋_GB2312"/>
          <w:sz w:val="32"/>
          <w:szCs w:val="32"/>
          <w:lang w:val="en-US" w:eastAsia="zh-CN"/>
        </w:rPr>
        <w:t>9</w:t>
      </w:r>
      <w:r>
        <w:rPr>
          <w:rFonts w:hint="eastAsia" w:eastAsia="仿宋_GB2312"/>
          <w:sz w:val="32"/>
          <w:szCs w:val="32"/>
        </w:rPr>
        <w:t>年政务公开工作主要任务分解表》</w:t>
      </w:r>
      <w:r>
        <w:rPr>
          <w:rFonts w:hint="eastAsia" w:eastAsia="仿宋_GB2312"/>
          <w:sz w:val="32"/>
          <w:szCs w:val="32"/>
          <w:lang w:eastAsia="zh-CN"/>
        </w:rPr>
        <w:t>等文件</w:t>
      </w:r>
      <w:r>
        <w:rPr>
          <w:rFonts w:eastAsia="仿宋_GB2312"/>
          <w:sz w:val="32"/>
          <w:szCs w:val="32"/>
        </w:rPr>
        <w:t>要求，特编制</w:t>
      </w:r>
      <w:r>
        <w:rPr>
          <w:rFonts w:hint="eastAsia" w:eastAsia="仿宋_GB2312"/>
          <w:sz w:val="32"/>
          <w:szCs w:val="32"/>
        </w:rPr>
        <w:t>晋江市磁灶镇人民政府2019年政府信息公开年度报告</w:t>
      </w:r>
      <w:bookmarkStart w:id="0" w:name="_GoBack"/>
      <w:bookmarkEnd w:id="0"/>
      <w:r>
        <w:rPr>
          <w:rFonts w:eastAsia="仿宋_GB2312"/>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本报告由</w:t>
      </w:r>
      <w:r>
        <w:rPr>
          <w:rFonts w:hint="eastAsia" w:eastAsia="仿宋_GB2312"/>
          <w:sz w:val="32"/>
          <w:szCs w:val="32"/>
        </w:rPr>
        <w:t>总体情况</w:t>
      </w:r>
      <w:r>
        <w:rPr>
          <w:rFonts w:hint="eastAsia" w:eastAsia="仿宋_GB2312"/>
          <w:sz w:val="32"/>
          <w:szCs w:val="32"/>
          <w:lang w:eastAsia="zh-CN"/>
        </w:rPr>
        <w:t>、行政机关主动公开政府信息情况、行政机关收到和处理政府信息公开申请情况、因政府信息公开工作被申请行政复议及提起行政诉讼情况、</w:t>
      </w:r>
      <w:r>
        <w:rPr>
          <w:rFonts w:hint="eastAsia" w:eastAsia="仿宋_GB2312"/>
          <w:sz w:val="32"/>
          <w:szCs w:val="32"/>
        </w:rPr>
        <w:t>政府信息公开工作存在的主要问题及改进情况</w:t>
      </w:r>
      <w:r>
        <w:rPr>
          <w:rFonts w:hint="eastAsia" w:eastAsia="仿宋_GB2312"/>
          <w:sz w:val="32"/>
          <w:szCs w:val="32"/>
          <w:lang w:eastAsia="zh-CN"/>
        </w:rPr>
        <w:t>、</w:t>
      </w:r>
      <w:r>
        <w:rPr>
          <w:rFonts w:hint="eastAsia" w:eastAsia="仿宋_GB2312"/>
          <w:sz w:val="32"/>
          <w:szCs w:val="32"/>
        </w:rPr>
        <w:t>其他需要报告的事项</w:t>
      </w:r>
      <w:r>
        <w:rPr>
          <w:rFonts w:eastAsia="仿宋_GB2312"/>
          <w:sz w:val="32"/>
          <w:szCs w:val="32"/>
        </w:rPr>
        <w:t>共</w:t>
      </w:r>
      <w:r>
        <w:rPr>
          <w:rFonts w:hint="eastAsia" w:eastAsia="仿宋_GB2312"/>
          <w:sz w:val="32"/>
          <w:szCs w:val="32"/>
          <w:lang w:val="en-US" w:eastAsia="zh-CN"/>
        </w:rPr>
        <w:t>6</w:t>
      </w:r>
      <w:r>
        <w:rPr>
          <w:rFonts w:eastAsia="仿宋_GB2312"/>
          <w:sz w:val="32"/>
          <w:szCs w:val="32"/>
        </w:rPr>
        <w:t>个部分组成</w:t>
      </w:r>
      <w:r>
        <w:rPr>
          <w:rFonts w:eastAsia="仿宋_GB2312"/>
          <w:kern w:val="0"/>
          <w:sz w:val="32"/>
          <w:szCs w:val="32"/>
        </w:rPr>
        <w:t>。</w:t>
      </w:r>
    </w:p>
    <w:p>
      <w:pPr>
        <w:spacing w:line="560" w:lineRule="exact"/>
        <w:ind w:firstLine="640" w:firstLineChars="200"/>
        <w:rPr>
          <w:kern w:val="0"/>
          <w:sz w:val="24"/>
        </w:rPr>
      </w:pPr>
      <w:r>
        <w:rPr>
          <w:rFonts w:eastAsia="仿宋_GB2312"/>
          <w:kern w:val="0"/>
          <w:sz w:val="32"/>
          <w:szCs w:val="32"/>
        </w:rPr>
        <w:t>本报告中所列数据的统计期限自</w:t>
      </w:r>
      <w:r>
        <w:rPr>
          <w:kern w:val="0"/>
          <w:sz w:val="32"/>
          <w:szCs w:val="32"/>
        </w:rPr>
        <w:t>201</w:t>
      </w:r>
      <w:r>
        <w:rPr>
          <w:rFonts w:hint="eastAsia"/>
          <w:kern w:val="0"/>
          <w:sz w:val="32"/>
          <w:szCs w:val="32"/>
          <w:lang w:val="en-US" w:eastAsia="zh-CN"/>
        </w:rPr>
        <w:t>9</w:t>
      </w:r>
      <w:r>
        <w:rPr>
          <w:rFonts w:eastAsia="仿宋_GB2312"/>
          <w:kern w:val="0"/>
          <w:sz w:val="32"/>
          <w:szCs w:val="32"/>
        </w:rPr>
        <w:t>年</w:t>
      </w:r>
      <w:r>
        <w:rPr>
          <w:kern w:val="0"/>
          <w:sz w:val="32"/>
          <w:szCs w:val="32"/>
        </w:rPr>
        <w:t>1</w:t>
      </w:r>
      <w:r>
        <w:rPr>
          <w:rFonts w:eastAsia="仿宋_GB2312"/>
          <w:kern w:val="0"/>
          <w:sz w:val="32"/>
          <w:szCs w:val="32"/>
        </w:rPr>
        <w:t>月</w:t>
      </w:r>
      <w:r>
        <w:rPr>
          <w:kern w:val="0"/>
          <w:sz w:val="32"/>
          <w:szCs w:val="32"/>
        </w:rPr>
        <w:t>1</w:t>
      </w:r>
      <w:r>
        <w:rPr>
          <w:rFonts w:eastAsia="仿宋_GB2312"/>
          <w:kern w:val="0"/>
          <w:sz w:val="32"/>
          <w:szCs w:val="32"/>
        </w:rPr>
        <w:t>日至</w:t>
      </w:r>
      <w:r>
        <w:rPr>
          <w:kern w:val="0"/>
          <w:sz w:val="32"/>
          <w:szCs w:val="32"/>
        </w:rPr>
        <w:t>201</w:t>
      </w:r>
      <w:r>
        <w:rPr>
          <w:rFonts w:hint="eastAsia"/>
          <w:kern w:val="0"/>
          <w:sz w:val="32"/>
          <w:szCs w:val="32"/>
          <w:lang w:val="en-US" w:eastAsia="zh-CN"/>
        </w:rPr>
        <w:t>9</w:t>
      </w:r>
      <w:r>
        <w:rPr>
          <w:rFonts w:eastAsia="仿宋_GB2312"/>
          <w:kern w:val="0"/>
          <w:sz w:val="32"/>
          <w:szCs w:val="32"/>
        </w:rPr>
        <w:t>年</w:t>
      </w:r>
      <w:r>
        <w:rPr>
          <w:kern w:val="0"/>
          <w:sz w:val="32"/>
          <w:szCs w:val="32"/>
        </w:rPr>
        <w:t>12</w:t>
      </w:r>
      <w:r>
        <w:rPr>
          <w:rFonts w:eastAsia="仿宋_GB2312"/>
          <w:kern w:val="0"/>
          <w:sz w:val="32"/>
          <w:szCs w:val="32"/>
        </w:rPr>
        <w:t>月</w:t>
      </w:r>
      <w:r>
        <w:rPr>
          <w:kern w:val="0"/>
          <w:sz w:val="32"/>
          <w:szCs w:val="32"/>
        </w:rPr>
        <w:t>31</w:t>
      </w:r>
      <w:r>
        <w:rPr>
          <w:rFonts w:eastAsia="仿宋_GB2312"/>
          <w:kern w:val="0"/>
          <w:sz w:val="32"/>
          <w:szCs w:val="32"/>
        </w:rPr>
        <w:t>日。本报告的电子版可在政府信息门户网站（</w:t>
      </w:r>
      <w:r>
        <w:rPr>
          <w:kern w:val="0"/>
          <w:sz w:val="32"/>
          <w:szCs w:val="32"/>
        </w:rPr>
        <w:t>http://www.jinjiang.gov.cn/</w:t>
      </w:r>
      <w:r>
        <w:rPr>
          <w:rFonts w:eastAsia="仿宋_GB2312"/>
          <w:kern w:val="0"/>
          <w:sz w:val="32"/>
          <w:szCs w:val="32"/>
        </w:rPr>
        <w:t>）的政府信息公开专栏下载。如对本报告有疑问，请与晋江市磁灶镇</w:t>
      </w:r>
      <w:r>
        <w:rPr>
          <w:rFonts w:hint="eastAsia" w:eastAsia="仿宋_GB2312"/>
          <w:kern w:val="0"/>
          <w:sz w:val="32"/>
          <w:szCs w:val="32"/>
          <w:lang w:eastAsia="zh-CN"/>
        </w:rPr>
        <w:t>人民</w:t>
      </w:r>
      <w:r>
        <w:rPr>
          <w:rFonts w:eastAsia="仿宋_GB2312"/>
          <w:kern w:val="0"/>
          <w:sz w:val="32"/>
          <w:szCs w:val="32"/>
        </w:rPr>
        <w:t>政府党政办公室联系（地址：晋江市磁灶镇延泽南路1号，邮编：</w:t>
      </w:r>
      <w:r>
        <w:rPr>
          <w:kern w:val="0"/>
          <w:sz w:val="32"/>
          <w:szCs w:val="32"/>
        </w:rPr>
        <w:t>362214</w:t>
      </w:r>
      <w:r>
        <w:rPr>
          <w:rFonts w:eastAsia="仿宋_GB2312"/>
          <w:kern w:val="0"/>
          <w:sz w:val="32"/>
          <w:szCs w:val="32"/>
        </w:rPr>
        <w:t>，电话：0595-</w:t>
      </w:r>
      <w:r>
        <w:rPr>
          <w:kern w:val="0"/>
          <w:sz w:val="32"/>
          <w:szCs w:val="32"/>
        </w:rPr>
        <w:t>85880883</w:t>
      </w:r>
      <w:r>
        <w:rPr>
          <w:rFonts w:eastAsia="仿宋_GB2312"/>
          <w:kern w:val="0"/>
          <w:sz w:val="32"/>
          <w:szCs w:val="32"/>
        </w:rPr>
        <w:t>，电子邮箱：</w:t>
      </w:r>
      <w:r>
        <w:rPr>
          <w:kern w:val="0"/>
          <w:sz w:val="32"/>
          <w:szCs w:val="32"/>
        </w:rPr>
        <w:t>cizaozhen2014@vip.163.com</w:t>
      </w:r>
      <w:r>
        <w:rPr>
          <w:rFonts w:eastAsia="仿宋_GB2312"/>
          <w:kern w:val="0"/>
          <w:sz w:val="32"/>
          <w:szCs w:val="32"/>
        </w:rPr>
        <w:t>）。</w:t>
      </w:r>
    </w:p>
    <w:p>
      <w:pPr>
        <w:spacing w:line="560" w:lineRule="exact"/>
        <w:ind w:firstLine="640" w:firstLineChars="200"/>
        <w:rPr>
          <w:kern w:val="0"/>
          <w:sz w:val="24"/>
        </w:rPr>
      </w:pPr>
      <w:r>
        <w:rPr>
          <w:rFonts w:hAnsi="黑体" w:eastAsia="黑体"/>
          <w:kern w:val="0"/>
          <w:sz w:val="32"/>
          <w:szCs w:val="32"/>
        </w:rPr>
        <w:t>一、</w:t>
      </w:r>
      <w:r>
        <w:rPr>
          <w:rFonts w:hint="eastAsia" w:hAnsi="黑体" w:eastAsia="黑体"/>
          <w:kern w:val="0"/>
          <w:sz w:val="32"/>
          <w:szCs w:val="32"/>
        </w:rPr>
        <w:t>总体情况</w:t>
      </w:r>
    </w:p>
    <w:p>
      <w:pPr>
        <w:spacing w:line="560" w:lineRule="exact"/>
        <w:ind w:firstLine="640" w:firstLineChars="200"/>
        <w:rPr>
          <w:rFonts w:hint="eastAsia" w:eastAsia="仿宋_GB2312"/>
          <w:kern w:val="0"/>
          <w:sz w:val="32"/>
          <w:szCs w:val="32"/>
          <w:highlight w:val="none"/>
          <w:lang w:eastAsia="zh-CN"/>
        </w:rPr>
      </w:pP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年磁灶镇</w:t>
      </w:r>
      <w:r>
        <w:rPr>
          <w:rFonts w:hint="eastAsia" w:eastAsia="仿宋_GB2312"/>
          <w:kern w:val="0"/>
          <w:sz w:val="32"/>
          <w:szCs w:val="32"/>
        </w:rPr>
        <w:t>人民政府坚持以习近平新时代中国特色社会主义思想为指导，深入贯彻党中央、国务院关于政</w:t>
      </w:r>
      <w:r>
        <w:rPr>
          <w:rFonts w:hint="eastAsia" w:eastAsia="仿宋_GB2312"/>
          <w:kern w:val="0"/>
          <w:sz w:val="32"/>
          <w:szCs w:val="32"/>
          <w:lang w:eastAsia="zh-CN"/>
        </w:rPr>
        <w:t>府信息</w:t>
      </w:r>
      <w:r>
        <w:rPr>
          <w:rFonts w:hint="eastAsia" w:eastAsia="仿宋_GB2312"/>
          <w:kern w:val="0"/>
          <w:sz w:val="32"/>
          <w:szCs w:val="32"/>
        </w:rPr>
        <w:t>公开</w:t>
      </w:r>
      <w:r>
        <w:rPr>
          <w:rFonts w:hint="eastAsia" w:eastAsia="仿宋_GB2312"/>
          <w:kern w:val="0"/>
          <w:sz w:val="32"/>
          <w:szCs w:val="32"/>
          <w:lang w:eastAsia="zh-CN"/>
        </w:rPr>
        <w:t>工作</w:t>
      </w:r>
      <w:r>
        <w:rPr>
          <w:rFonts w:hint="eastAsia" w:eastAsia="仿宋_GB2312"/>
          <w:kern w:val="0"/>
          <w:sz w:val="32"/>
          <w:szCs w:val="32"/>
        </w:rPr>
        <w:t>的决策部署，按照《条例》要求全面推进政府信息公开</w:t>
      </w:r>
      <w:r>
        <w:rPr>
          <w:rFonts w:hint="eastAsia" w:eastAsia="仿宋_GB2312"/>
          <w:kern w:val="0"/>
          <w:sz w:val="32"/>
          <w:szCs w:val="32"/>
          <w:lang w:eastAsia="zh-CN"/>
        </w:rPr>
        <w:t>工作。总体情况如下：</w:t>
      </w:r>
    </w:p>
    <w:p>
      <w:pPr>
        <w:numPr>
          <w:ilvl w:val="0"/>
          <w:numId w:val="2"/>
        </w:numPr>
        <w:spacing w:line="560" w:lineRule="exact"/>
        <w:ind w:firstLine="640" w:firstLineChars="200"/>
        <w:rPr>
          <w:rFonts w:hint="eastAsia" w:eastAsia="仿宋_GB2312"/>
          <w:sz w:val="32"/>
          <w:szCs w:val="32"/>
        </w:rPr>
      </w:pPr>
      <w:r>
        <w:rPr>
          <w:rFonts w:hint="eastAsia" w:ascii="楷体_GB2312" w:hAnsi="楷体_GB2312" w:eastAsia="楷体_GB2312" w:cs="楷体_GB2312"/>
          <w:kern w:val="0"/>
          <w:sz w:val="32"/>
          <w:szCs w:val="32"/>
          <w:highlight w:val="none"/>
          <w:lang w:val="en-US" w:eastAsia="zh-CN"/>
        </w:rPr>
        <w:t>主动公开情况：</w:t>
      </w:r>
      <w:r>
        <w:rPr>
          <w:rFonts w:eastAsia="仿宋_GB2312"/>
          <w:kern w:val="0"/>
          <w:sz w:val="32"/>
          <w:szCs w:val="32"/>
          <w:highlight w:val="none"/>
        </w:rPr>
        <w:t>全年</w:t>
      </w:r>
      <w:r>
        <w:rPr>
          <w:rFonts w:eastAsia="仿宋_GB2312"/>
          <w:sz w:val="32"/>
          <w:szCs w:val="32"/>
          <w:highlight w:val="none"/>
        </w:rPr>
        <w:t>主动公开政务文件</w:t>
      </w:r>
      <w:r>
        <w:rPr>
          <w:rFonts w:hint="eastAsia" w:eastAsia="仿宋_GB2312"/>
          <w:sz w:val="32"/>
          <w:szCs w:val="32"/>
          <w:highlight w:val="none"/>
          <w:lang w:val="en-US" w:eastAsia="zh-CN"/>
        </w:rPr>
        <w:t>60</w:t>
      </w:r>
      <w:r>
        <w:rPr>
          <w:rFonts w:hint="eastAsia" w:eastAsia="仿宋_GB2312"/>
          <w:sz w:val="32"/>
          <w:szCs w:val="32"/>
          <w:highlight w:val="none"/>
        </w:rPr>
        <w:t>条</w:t>
      </w:r>
      <w:r>
        <w:rPr>
          <w:rFonts w:eastAsia="仿宋_GB2312"/>
          <w:sz w:val="32"/>
          <w:szCs w:val="32"/>
          <w:highlight w:val="none"/>
        </w:rPr>
        <w:t>及工作动态信息</w:t>
      </w:r>
      <w:r>
        <w:rPr>
          <w:rFonts w:hint="eastAsia" w:eastAsia="仿宋_GB2312"/>
          <w:sz w:val="32"/>
          <w:szCs w:val="32"/>
          <w:highlight w:val="none"/>
          <w:lang w:val="en-US" w:eastAsia="zh-CN"/>
        </w:rPr>
        <w:t>193</w:t>
      </w:r>
      <w:r>
        <w:rPr>
          <w:rFonts w:hint="eastAsia" w:eastAsia="仿宋_GB2312"/>
          <w:sz w:val="32"/>
          <w:szCs w:val="32"/>
          <w:highlight w:val="none"/>
        </w:rPr>
        <w:t>条</w:t>
      </w:r>
      <w:r>
        <w:rPr>
          <w:rFonts w:eastAsia="仿宋_GB2312"/>
          <w:sz w:val="32"/>
          <w:szCs w:val="32"/>
          <w:highlight w:val="none"/>
        </w:rPr>
        <w:t>，</w:t>
      </w:r>
      <w:r>
        <w:rPr>
          <w:rFonts w:hint="eastAsia" w:eastAsia="仿宋_GB2312"/>
          <w:sz w:val="32"/>
          <w:szCs w:val="32"/>
          <w:highlight w:val="none"/>
        </w:rPr>
        <w:t>全文电子化率达100%</w:t>
      </w:r>
      <w:r>
        <w:rPr>
          <w:rFonts w:hint="eastAsia" w:eastAsia="仿宋_GB2312"/>
          <w:sz w:val="32"/>
          <w:szCs w:val="32"/>
          <w:highlight w:val="none"/>
          <w:lang w:eastAsia="zh-CN"/>
        </w:rPr>
        <w:t>。公开的</w:t>
      </w:r>
      <w:r>
        <w:rPr>
          <w:rFonts w:hint="eastAsia" w:eastAsia="仿宋_GB2312"/>
          <w:sz w:val="32"/>
          <w:szCs w:val="32"/>
          <w:lang w:eastAsia="zh-CN"/>
        </w:rPr>
        <w:t>内容主要包括重点项目建设、社会保障、危房翻建、宅基地及拆旧翻新、就业创业、安全生产、科教文体卫生等，</w:t>
      </w:r>
      <w:r>
        <w:rPr>
          <w:rFonts w:hint="eastAsia" w:eastAsia="仿宋_GB2312"/>
          <w:sz w:val="32"/>
          <w:szCs w:val="32"/>
        </w:rPr>
        <w:t>有力保障了人民群众的知情权、参与权、表达权和监督权，为推动全</w:t>
      </w:r>
      <w:r>
        <w:rPr>
          <w:rFonts w:hint="eastAsia" w:eastAsia="仿宋_GB2312"/>
          <w:sz w:val="32"/>
          <w:szCs w:val="32"/>
          <w:lang w:eastAsia="zh-CN"/>
        </w:rPr>
        <w:t>面发展</w:t>
      </w:r>
      <w:r>
        <w:rPr>
          <w:rFonts w:hint="eastAsia" w:eastAsia="仿宋_GB2312"/>
          <w:sz w:val="32"/>
          <w:szCs w:val="32"/>
        </w:rPr>
        <w:t>营造了良好环境和氛围。</w:t>
      </w:r>
    </w:p>
    <w:p>
      <w:pPr>
        <w:numPr>
          <w:ilvl w:val="0"/>
          <w:numId w:val="2"/>
        </w:numPr>
        <w:spacing w:line="560" w:lineRule="exact"/>
        <w:ind w:firstLine="640" w:firstLineChars="200"/>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依申请公开情况：</w:t>
      </w:r>
      <w:r>
        <w:rPr>
          <w:rFonts w:hint="eastAsia" w:eastAsia="仿宋_GB2312"/>
          <w:sz w:val="32"/>
          <w:szCs w:val="32"/>
          <w:lang w:val="en-US" w:eastAsia="zh-CN"/>
        </w:rPr>
        <w:t>2019年度收到申请人方某某通过当面及网络申请方式提交的政府信息公开申请各1件，合计2件，均已书面答复、按时办结。</w:t>
      </w:r>
    </w:p>
    <w:p>
      <w:pPr>
        <w:numPr>
          <w:ilvl w:val="0"/>
          <w:numId w:val="0"/>
        </w:num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方某某申请获得的信息均为下灶村流芳小区建设项目有关信息。2019年1月5日，磁灶镇人民政府受理了申请人提出的政府信息公开申请【具体可见《登记回执》晋磁政（2019）第1号、第2号】。2019年1月15日，根据《中华人民共和国政府信息公开条例》第十一条第（三）项的规定，磁灶镇人民政府以书面形式答复申请人所申请获取的信息不存在。</w:t>
      </w:r>
    </w:p>
    <w:p>
      <w:pPr>
        <w:numPr>
          <w:ilvl w:val="0"/>
          <w:numId w:val="0"/>
        </w:numPr>
        <w:spacing w:line="560" w:lineRule="exact"/>
        <w:ind w:firstLine="640" w:firstLineChars="200"/>
        <w:rPr>
          <w:rFonts w:hAnsi="黑体" w:eastAsia="黑体"/>
          <w:kern w:val="0"/>
          <w:sz w:val="32"/>
          <w:szCs w:val="32"/>
        </w:rPr>
      </w:pPr>
      <w:r>
        <w:rPr>
          <w:rFonts w:hint="eastAsia" w:ascii="楷体_GB2312" w:hAnsi="楷体_GB2312" w:eastAsia="楷体_GB2312" w:cs="楷体_GB2312"/>
          <w:kern w:val="0"/>
          <w:sz w:val="32"/>
          <w:szCs w:val="32"/>
          <w:lang w:val="en-US" w:eastAsia="zh-CN"/>
        </w:rPr>
        <w:t>3、政府信息管理情况：</w:t>
      </w:r>
      <w:r>
        <w:rPr>
          <w:rFonts w:hint="eastAsia" w:ascii="仿宋_GB2312" w:hAnsi="仿宋_GB2312" w:eastAsia="仿宋_GB2312" w:cs="仿宋_GB2312"/>
          <w:sz w:val="32"/>
          <w:szCs w:val="32"/>
          <w:highlight w:val="none"/>
          <w:lang w:eastAsia="zh-CN"/>
        </w:rPr>
        <w:t>在信息公开中，由党政办协调汇总全镇的政府信息公开工作，并指定专人负责信息的更新与维护。规范信息发布程序，实行科室负责人、分管领导、主管领导三级审查制度，坚持“先审查、后公开”、“一事一审”、“上网不涉密、涉密不上网”等原则，做好政府信息公开保密审查工作，确保不发生失、泄密问题。同时，积极做好依申请公开答复工作，完善受理、审查、处理和答复程序，严守答复时限，严把答复内容，并及时向相关部门提出工作建议。</w:t>
      </w:r>
    </w:p>
    <w:p>
      <w:pPr>
        <w:numPr>
          <w:ilvl w:val="0"/>
          <w:numId w:val="2"/>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kern w:val="0"/>
          <w:sz w:val="32"/>
          <w:szCs w:val="32"/>
          <w:lang w:val="en-US" w:eastAsia="zh-CN"/>
        </w:rPr>
        <w:t>平台建设情况：</w:t>
      </w:r>
      <w:r>
        <w:rPr>
          <w:rFonts w:hint="eastAsia" w:ascii="仿宋_GB2312" w:hAnsi="仿宋_GB2312" w:eastAsia="仿宋_GB2312" w:cs="仿宋_GB2312"/>
          <w:sz w:val="32"/>
          <w:szCs w:val="32"/>
          <w:highlight w:val="none"/>
          <w:lang w:eastAsia="zh-CN"/>
        </w:rPr>
        <w:t>一是完善实体专栏建设。在镇政府开阔地带常设政府信息公开实体专栏，</w:t>
      </w:r>
      <w:r>
        <w:rPr>
          <w:rFonts w:hint="eastAsia" w:eastAsia="仿宋_GB2312"/>
          <w:sz w:val="32"/>
          <w:szCs w:val="32"/>
          <w:highlight w:val="none"/>
          <w:lang w:eastAsia="zh-CN"/>
        </w:rPr>
        <w:t>分长期、季</w:t>
      </w:r>
      <w:r>
        <w:rPr>
          <w:rFonts w:hint="eastAsia" w:ascii="仿宋_GB2312" w:hAnsi="仿宋_GB2312" w:eastAsia="仿宋_GB2312" w:cs="仿宋_GB2312"/>
          <w:sz w:val="32"/>
          <w:szCs w:val="32"/>
          <w:highlight w:val="none"/>
          <w:lang w:eastAsia="zh-CN"/>
        </w:rPr>
        <w:t>度、动态三种更新模式，做好日常管理和维护工作；二是做好政府门户网站信息公开专栏建设。在www.jinjiang.gov.cn（晋江市人民政府）网站上“政府信息公开”专栏下设磁灶镇人民政府信息公开子栏目，积极、及时公开政府信息，并对当季度无动态信息做好说明，避免目录空化；三是</w:t>
      </w:r>
      <w:r>
        <w:rPr>
          <w:rFonts w:hint="eastAsia" w:eastAsia="仿宋_GB2312"/>
          <w:sz w:val="32"/>
          <w:szCs w:val="32"/>
          <w:highlight w:val="none"/>
          <w:lang w:eastAsia="zh-CN"/>
        </w:rPr>
        <w:t>认真做好信息公开递交工作。按时将公开材料送至市档案局及图书馆，方便公众查阅；四是</w:t>
      </w:r>
      <w:r>
        <w:rPr>
          <w:rFonts w:hint="eastAsia" w:ascii="仿宋_GB2312" w:hAnsi="仿宋_GB2312" w:eastAsia="仿宋_GB2312" w:cs="仿宋_GB2312"/>
          <w:sz w:val="32"/>
          <w:szCs w:val="32"/>
          <w:highlight w:val="none"/>
          <w:lang w:eastAsia="zh-CN"/>
        </w:rPr>
        <w:t>利用新闻媒体公开。通过报刊设立“新磁灶”专栏和刊发舆情说明、微信公众号发布信息、在线访谈等形式，主动将政府信息进行公开，</w:t>
      </w:r>
      <w:r>
        <w:rPr>
          <w:rFonts w:hint="eastAsia" w:ascii="仿宋_GB2312" w:hAnsi="仿宋_GB2312" w:eastAsia="仿宋_GB2312" w:cs="仿宋_GB2312"/>
          <w:sz w:val="32"/>
          <w:szCs w:val="32"/>
          <w:highlight w:val="none"/>
        </w:rPr>
        <w:t>进一步增强公开实效</w:t>
      </w:r>
      <w:r>
        <w:rPr>
          <w:rFonts w:hint="eastAsia" w:ascii="仿宋_GB2312" w:hAnsi="仿宋_GB2312" w:eastAsia="仿宋_GB2312" w:cs="仿宋_GB2312"/>
          <w:sz w:val="32"/>
          <w:szCs w:val="32"/>
          <w:highlight w:val="none"/>
          <w:lang w:eastAsia="zh-CN"/>
        </w:rPr>
        <w:t>。</w:t>
      </w:r>
    </w:p>
    <w:p>
      <w:pPr>
        <w:numPr>
          <w:ilvl w:val="0"/>
          <w:numId w:val="2"/>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监督保障情况：强化政务公开机构建设，确定3名专兼职业务骨干，每季度均能保障相关经费，主动公开基本目录及相关台账均能做到及时更新完善，并将政务公开与政府信息公开工作纳入2019年度磁灶镇绩效评估工作。</w:t>
      </w:r>
    </w:p>
    <w:p>
      <w:pPr>
        <w:numPr>
          <w:ilvl w:val="0"/>
          <w:numId w:val="0"/>
        </w:numPr>
        <w:spacing w:line="560" w:lineRule="exact"/>
        <w:ind w:firstLine="640" w:firstLineChars="200"/>
        <w:rPr>
          <w:rFonts w:hint="eastAsia" w:hAnsi="黑体" w:eastAsia="黑体"/>
          <w:kern w:val="0"/>
          <w:sz w:val="32"/>
          <w:szCs w:val="32"/>
          <w:lang w:eastAsia="zh-CN"/>
        </w:rPr>
      </w:pPr>
      <w:r>
        <w:rPr>
          <w:rFonts w:hAnsi="黑体" w:eastAsia="黑体"/>
          <w:kern w:val="0"/>
          <w:sz w:val="32"/>
          <w:szCs w:val="32"/>
        </w:rPr>
        <w:t>二、</w:t>
      </w:r>
      <w:r>
        <w:rPr>
          <w:rFonts w:hint="eastAsia" w:hAnsi="黑体" w:eastAsia="黑体"/>
          <w:kern w:val="0"/>
          <w:sz w:val="32"/>
          <w:szCs w:val="32"/>
          <w:lang w:eastAsia="zh-CN"/>
        </w:rPr>
        <w:t>行政机关主动公开政府信息情况</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1559"/>
        <w:gridCol w:w="1747"/>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制作数量</w:t>
            </w:r>
          </w:p>
        </w:tc>
        <w:tc>
          <w:tcPr>
            <w:tcW w:w="1747"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公开数量</w:t>
            </w:r>
          </w:p>
        </w:tc>
        <w:tc>
          <w:tcPr>
            <w:tcW w:w="2131"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规章</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规范性文件</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ind w:firstLine="720" w:firstLineChars="300"/>
              <w:jc w:val="center"/>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上一年项目数量</w:t>
            </w:r>
          </w:p>
        </w:tc>
        <w:tc>
          <w:tcPr>
            <w:tcW w:w="1747"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c>
          <w:tcPr>
            <w:tcW w:w="2131"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行政许可</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其他对外管理服务事项</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085" w:type="dxa"/>
            <w:vAlign w:val="center"/>
          </w:tcPr>
          <w:p>
            <w:pPr>
              <w:pStyle w:val="8"/>
              <w:spacing w:before="0" w:beforeAutospacing="0" w:after="0" w:afterAutospacing="0" w:line="360" w:lineRule="exact"/>
              <w:ind w:firstLine="720" w:firstLineChars="300"/>
              <w:jc w:val="center"/>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上一年项目数量</w:t>
            </w:r>
          </w:p>
        </w:tc>
        <w:tc>
          <w:tcPr>
            <w:tcW w:w="1747"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c>
          <w:tcPr>
            <w:tcW w:w="2131"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行政处罚</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行政强制</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1747"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2131"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上一年项目数量</w:t>
            </w:r>
          </w:p>
        </w:tc>
        <w:tc>
          <w:tcPr>
            <w:tcW w:w="3878" w:type="dxa"/>
            <w:gridSpan w:val="2"/>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行政事业性收费</w:t>
            </w:r>
          </w:p>
        </w:tc>
        <w:tc>
          <w:tcPr>
            <w:tcW w:w="1559" w:type="dxa"/>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c>
          <w:tcPr>
            <w:tcW w:w="3878" w:type="dxa"/>
            <w:gridSpan w:val="2"/>
            <w:vAlign w:val="center"/>
          </w:tcPr>
          <w:p>
            <w:pPr>
              <w:pStyle w:val="8"/>
              <w:spacing w:before="0" w:beforeAutospacing="0" w:after="0" w:afterAutospacing="0" w:line="360" w:lineRule="exact"/>
              <w:jc w:val="center"/>
              <w:rPr>
                <w:rFonts w:hint="eastAsia"/>
                <w:color w:val="000000"/>
                <w:lang w:val="en-US" w:eastAsia="zh-CN"/>
              </w:rPr>
            </w:pPr>
            <w:r>
              <w:rPr>
                <w:rFonts w:hint="eastAsia"/>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8"/>
              <w:spacing w:before="0" w:beforeAutospacing="0" w:after="0" w:afterAutospacing="0" w:line="360" w:lineRule="exact"/>
              <w:jc w:val="center"/>
              <w:rPr>
                <w:rFonts w:ascii="Times New Roman" w:hAnsi="Times New Roman" w:eastAsia="Times New Roman" w:cs="Times New Roman"/>
                <w:color w:val="000000"/>
              </w:rPr>
            </w:pPr>
            <w:r>
              <w:rPr>
                <w:rFonts w:hint="eastAsia"/>
                <w:color w:val="000000"/>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Times New Roman" w:cs="Times New Roman"/>
                <w:color w:val="000000"/>
              </w:rPr>
            </w:pPr>
            <w:r>
              <w:rPr>
                <w:rFonts w:hint="eastAsia"/>
                <w:color w:val="000000"/>
              </w:rPr>
              <w:t>信息内容</w:t>
            </w:r>
          </w:p>
        </w:tc>
        <w:tc>
          <w:tcPr>
            <w:tcW w:w="1559" w:type="dxa"/>
            <w:vAlign w:val="center"/>
          </w:tcPr>
          <w:p>
            <w:pPr>
              <w:widowControl/>
              <w:spacing w:line="36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采购项目数量</w:t>
            </w:r>
          </w:p>
        </w:tc>
        <w:tc>
          <w:tcPr>
            <w:tcW w:w="3878" w:type="dxa"/>
            <w:gridSpan w:val="2"/>
            <w:vAlign w:val="center"/>
          </w:tcPr>
          <w:p>
            <w:pPr>
              <w:pStyle w:val="8"/>
              <w:spacing w:before="0" w:beforeAutospacing="0" w:after="0" w:afterAutospacing="0" w:line="360" w:lineRule="exact"/>
              <w:jc w:val="center"/>
              <w:rPr>
                <w:rFonts w:ascii="Times New Roman" w:hAnsi="Times New Roman" w:eastAsia="方正黑体简体" w:cs="Times New Roman"/>
                <w:b/>
                <w:bCs/>
                <w:color w:val="000000"/>
              </w:rPr>
            </w:pPr>
            <w:r>
              <w:rPr>
                <w:rFonts w:hint="eastAsia"/>
                <w:color w:val="000000"/>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8"/>
              <w:spacing w:before="0" w:beforeAutospacing="0" w:after="0" w:afterAutospacing="0" w:line="360" w:lineRule="exact"/>
              <w:jc w:val="center"/>
              <w:rPr>
                <w:rFonts w:ascii="Times New Roman" w:hAnsi="Times New Roman" w:eastAsia="Times New Roman" w:cs="Times New Roman"/>
                <w:color w:val="000000"/>
              </w:rPr>
            </w:pPr>
            <w:r>
              <w:rPr>
                <w:rFonts w:hint="eastAsia"/>
                <w:color w:val="000000"/>
              </w:rPr>
              <w:t>政府集中采购</w:t>
            </w:r>
          </w:p>
        </w:tc>
        <w:tc>
          <w:tcPr>
            <w:tcW w:w="1559" w:type="dxa"/>
            <w:vAlign w:val="center"/>
          </w:tcPr>
          <w:p>
            <w:pPr>
              <w:pStyle w:val="8"/>
              <w:spacing w:before="0" w:beforeAutospacing="0" w:after="0" w:afterAutospacing="0" w:line="36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7项</w:t>
            </w:r>
          </w:p>
        </w:tc>
        <w:tc>
          <w:tcPr>
            <w:tcW w:w="3878" w:type="dxa"/>
            <w:gridSpan w:val="2"/>
            <w:vAlign w:val="center"/>
          </w:tcPr>
          <w:p>
            <w:pPr>
              <w:pStyle w:val="8"/>
              <w:spacing w:before="0" w:beforeAutospacing="0" w:after="0" w:afterAutospacing="0" w:line="360" w:lineRule="exact"/>
              <w:jc w:val="center"/>
              <w:rPr>
                <w:rFonts w:hint="default"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val="0"/>
                <w:bCs w:val="0"/>
                <w:color w:val="000000"/>
                <w:lang w:val="en-US" w:eastAsia="zh-CN"/>
              </w:rPr>
              <w:t>153202.5元</w:t>
            </w:r>
          </w:p>
        </w:tc>
      </w:tr>
    </w:tbl>
    <w:p>
      <w:pPr>
        <w:numPr>
          <w:ilvl w:val="0"/>
          <w:numId w:val="3"/>
        </w:numPr>
        <w:ind w:firstLine="640" w:firstLineChars="200"/>
        <w:jc w:val="both"/>
        <w:rPr>
          <w:rFonts w:hint="eastAsia" w:hAnsi="黑体" w:eastAsia="黑体"/>
          <w:kern w:val="0"/>
          <w:sz w:val="32"/>
          <w:szCs w:val="32"/>
        </w:rPr>
      </w:pPr>
      <w:r>
        <w:rPr>
          <w:rFonts w:hint="eastAsia" w:hAnsi="黑体" w:eastAsia="黑体"/>
          <w:kern w:val="0"/>
          <w:sz w:val="32"/>
          <w:szCs w:val="32"/>
        </w:rPr>
        <w:t>收到和处理政府信息公开申请情况</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2"/>
        <w:gridCol w:w="1157"/>
        <w:gridCol w:w="1941"/>
        <w:gridCol w:w="576"/>
        <w:gridCol w:w="649"/>
        <w:gridCol w:w="649"/>
        <w:gridCol w:w="799"/>
        <w:gridCol w:w="799"/>
        <w:gridCol w:w="501"/>
        <w:gridCol w:w="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Merge w:val="restart"/>
            <w:vAlign w:val="center"/>
          </w:tcPr>
          <w:p>
            <w:pPr>
              <w:widowControl/>
              <w:spacing w:line="34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（本列数据的勾稽关系为：第一项加第二项之和，等于第三项加第四项之和）</w:t>
            </w:r>
          </w:p>
        </w:tc>
        <w:tc>
          <w:tcPr>
            <w:tcW w:w="2563" w:type="pct"/>
            <w:gridSpan w:val="7"/>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330" w:type="pct"/>
            <w:vMerge w:val="restar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自然人</w:t>
            </w:r>
          </w:p>
        </w:tc>
        <w:tc>
          <w:tcPr>
            <w:tcW w:w="1946" w:type="pct"/>
            <w:gridSpan w:val="5"/>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法人或其他组织</w:t>
            </w:r>
          </w:p>
        </w:tc>
        <w:tc>
          <w:tcPr>
            <w:tcW w:w="287" w:type="pct"/>
            <w:vMerge w:val="restart"/>
            <w:vAlign w:val="center"/>
          </w:tcPr>
          <w:p>
            <w:pPr>
              <w:spacing w:line="34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7" w:type="pct"/>
            <w:gridSpan w:val="3"/>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330"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372"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商业企业</w:t>
            </w:r>
          </w:p>
        </w:tc>
        <w:tc>
          <w:tcPr>
            <w:tcW w:w="372"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科研机构</w:t>
            </w:r>
          </w:p>
        </w:tc>
        <w:tc>
          <w:tcPr>
            <w:tcW w:w="458"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社会公益组织</w:t>
            </w:r>
          </w:p>
        </w:tc>
        <w:tc>
          <w:tcPr>
            <w:tcW w:w="458" w:type="pct"/>
            <w:vAlign w:val="center"/>
          </w:tcPr>
          <w:p>
            <w:pPr>
              <w:widowControl/>
              <w:spacing w:line="34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法律服务机构</w:t>
            </w:r>
          </w:p>
        </w:tc>
        <w:tc>
          <w:tcPr>
            <w:tcW w:w="287"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其他</w:t>
            </w:r>
          </w:p>
        </w:tc>
        <w:tc>
          <w:tcPr>
            <w:tcW w:w="287" w:type="pct"/>
            <w:vMerge w:val="continue"/>
            <w:vAlign w:val="center"/>
          </w:tcPr>
          <w:p>
            <w:pPr>
              <w:widowControl/>
              <w:spacing w:line="340" w:lineRule="exact"/>
              <w:jc w:val="center"/>
              <w:rPr>
                <w:rFonts w:ascii="Times New Roman" w:hAnsi="Times New Roman" w:eastAsia="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Align w:val="center"/>
          </w:tcPr>
          <w:p>
            <w:pPr>
              <w:widowControl/>
              <w:spacing w:line="34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一、本年新收政府信息公开申请数量</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2</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widowControl/>
              <w:spacing w:line="340" w:lineRule="exact"/>
              <w:jc w:val="center"/>
              <w:rPr>
                <w:rFonts w:hint="eastAsia" w:ascii="Times New Roman" w:hAnsi="Times New Roman" w:eastAsia="宋体"/>
                <w:color w:val="000000"/>
                <w:kern w:val="0"/>
                <w:sz w:val="24"/>
                <w:szCs w:val="24"/>
                <w:lang w:val="en-US" w:eastAsia="zh-CN"/>
              </w:rPr>
            </w:pPr>
            <w:r>
              <w:rPr>
                <w:rFonts w:hint="eastAsia"/>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二、上年结转政府信息公开申请数量</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restart"/>
            <w:vAlign w:val="center"/>
          </w:tcPr>
          <w:p>
            <w:pPr>
              <w:widowControl/>
              <w:spacing w:line="340" w:lineRule="exact"/>
              <w:jc w:val="center"/>
              <w:rPr>
                <w:rFonts w:ascii="Times New Roman" w:hAnsi="Times New Roman" w:eastAsia="Times New Roman"/>
                <w:color w:val="000000"/>
                <w:kern w:val="0"/>
                <w:sz w:val="24"/>
                <w:szCs w:val="24"/>
              </w:rPr>
            </w:pPr>
            <w:r>
              <w:rPr>
                <w:rFonts w:hint="eastAsia" w:ascii="宋体" w:hAnsi="宋体" w:cs="宋体"/>
                <w:color w:val="000000"/>
                <w:kern w:val="0"/>
                <w:sz w:val="24"/>
                <w:szCs w:val="24"/>
              </w:rPr>
              <w:t>三、本年度办理结果</w:t>
            </w:r>
          </w:p>
        </w:tc>
        <w:tc>
          <w:tcPr>
            <w:tcW w:w="1777" w:type="pct"/>
            <w:gridSpan w:val="2"/>
            <w:vAlign w:val="center"/>
          </w:tcPr>
          <w:p>
            <w:pPr>
              <w:pStyle w:val="8"/>
              <w:spacing w:before="0" w:beforeAutospacing="0" w:after="0" w:afterAutospacing="0" w:line="340" w:lineRule="exact"/>
              <w:ind w:firstLine="480" w:firstLineChars="200"/>
              <w:jc w:val="center"/>
              <w:rPr>
                <w:rFonts w:ascii="Times New Roman" w:hAnsi="Times New Roman" w:eastAsia="Times New Roman" w:cs="Times New Roman"/>
                <w:color w:val="000000"/>
              </w:rPr>
            </w:pPr>
            <w:r>
              <w:rPr>
                <w:rFonts w:hint="eastAsia"/>
                <w:color w:val="000000"/>
              </w:rPr>
              <w:t>（一）予以公开</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777" w:type="pct"/>
            <w:gridSpan w:val="2"/>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（二）部分公开（区分处理的，只计这一情形，不计其他情形）</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restar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（三）不予公开</w:t>
            </w: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hint="eastAsia"/>
                <w:color w:val="000000"/>
              </w:rPr>
              <w:t>属于国家秘密</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其他法律行政法规禁止公开</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危及</w:t>
            </w:r>
            <w:r>
              <w:rPr>
                <w:rFonts w:ascii="Times New Roman" w:hAnsi="Times New Roman" w:eastAsia="Times New Roman" w:cs="Times New Roman"/>
                <w:color w:val="000000"/>
              </w:rPr>
              <w:t>“</w:t>
            </w:r>
            <w:r>
              <w:rPr>
                <w:rFonts w:hint="eastAsia"/>
                <w:color w:val="000000"/>
              </w:rPr>
              <w:t>三安全一稳定</w:t>
            </w:r>
            <w:r>
              <w:rPr>
                <w:rFonts w:ascii="Times New Roman" w:hAnsi="Times New Roman" w:eastAsia="Times New Roman" w:cs="Times New Roman"/>
                <w:color w:val="000000"/>
              </w:rPr>
              <w:t>”</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r>
              <w:rPr>
                <w:rFonts w:hint="eastAsia"/>
                <w:color w:val="000000"/>
              </w:rPr>
              <w:t>保护第三方合法权益</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hint="eastAsia"/>
                <w:color w:val="000000"/>
              </w:rPr>
              <w:t>属于三类内部事务信息</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6.</w:t>
            </w:r>
            <w:r>
              <w:rPr>
                <w:rFonts w:hint="eastAsia" w:ascii="宋体" w:hAnsi="宋体" w:cs="宋体"/>
                <w:color w:val="000000"/>
                <w:kern w:val="0"/>
                <w:sz w:val="24"/>
                <w:szCs w:val="24"/>
              </w:rPr>
              <w:t>属于四类过程性信息</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r>
              <w:rPr>
                <w:rFonts w:hint="eastAsia"/>
                <w:color w:val="000000"/>
              </w:rPr>
              <w:t>属于行政执法案卷</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r>
              <w:rPr>
                <w:rFonts w:hint="eastAsia"/>
                <w:color w:val="000000"/>
              </w:rPr>
              <w:t>属于行政查询事项</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restar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（四）无法提供</w:t>
            </w: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本机关不掌握相关政府信息</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没有现成信息需要另行制作</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补正后申请内容仍不明确</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restart"/>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（五）不予处理</w:t>
            </w: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信访举报投诉类申请</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2.</w:t>
            </w:r>
            <w:r>
              <w:rPr>
                <w:rFonts w:hint="eastAsia" w:ascii="宋体" w:hAnsi="宋体" w:cs="宋体"/>
                <w:color w:val="000000"/>
                <w:kern w:val="0"/>
                <w:sz w:val="24"/>
                <w:szCs w:val="24"/>
              </w:rPr>
              <w:t>重复申请</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3.</w:t>
            </w:r>
            <w:r>
              <w:rPr>
                <w:rFonts w:hint="eastAsia" w:ascii="宋体" w:hAnsi="宋体" w:cs="宋体"/>
                <w:color w:val="000000"/>
                <w:kern w:val="0"/>
                <w:sz w:val="24"/>
                <w:szCs w:val="24"/>
              </w:rPr>
              <w:t>要求提供公开出版物</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4.</w:t>
            </w:r>
            <w:r>
              <w:rPr>
                <w:rFonts w:hint="eastAsia" w:ascii="宋体" w:hAnsi="宋体" w:cs="宋体"/>
                <w:color w:val="000000"/>
                <w:kern w:val="0"/>
                <w:sz w:val="24"/>
                <w:szCs w:val="24"/>
              </w:rPr>
              <w:t>无正当理由大量反复申请</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664"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113" w:type="pct"/>
            <w:vAlign w:val="center"/>
          </w:tcPr>
          <w:p>
            <w:pPr>
              <w:widowControl/>
              <w:spacing w:line="340" w:lineRule="exact"/>
              <w:jc w:val="center"/>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5.</w:t>
            </w:r>
            <w:r>
              <w:rPr>
                <w:rFonts w:hint="eastAsia" w:ascii="宋体" w:hAnsi="宋体" w:cs="宋体"/>
                <w:color w:val="000000"/>
                <w:kern w:val="0"/>
                <w:sz w:val="24"/>
                <w:szCs w:val="24"/>
              </w:rPr>
              <w:t>要求行政机关确认或重新出具已获取信息</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777" w:type="pct"/>
            <w:gridSpan w:val="2"/>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（六）其他处理</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2</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p>
        </w:tc>
        <w:tc>
          <w:tcPr>
            <w:tcW w:w="1777" w:type="pct"/>
            <w:gridSpan w:val="2"/>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（七）总计</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2</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Align w:val="center"/>
          </w:tcPr>
          <w:p>
            <w:pPr>
              <w:pStyle w:val="8"/>
              <w:spacing w:before="0" w:beforeAutospacing="0" w:after="0" w:afterAutospacing="0" w:line="340" w:lineRule="exact"/>
              <w:jc w:val="center"/>
              <w:rPr>
                <w:rFonts w:ascii="Times New Roman" w:hAnsi="Times New Roman" w:eastAsia="Times New Roman" w:cs="Times New Roman"/>
                <w:color w:val="000000"/>
              </w:rPr>
            </w:pPr>
            <w:r>
              <w:rPr>
                <w:rFonts w:hint="eastAsia"/>
                <w:color w:val="000000"/>
              </w:rPr>
              <w:t>四、结转下年度继续办理</w:t>
            </w:r>
          </w:p>
        </w:tc>
        <w:tc>
          <w:tcPr>
            <w:tcW w:w="330"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8"/>
              <w:spacing w:before="0" w:beforeAutospacing="0" w:after="0" w:afterAutospacing="0" w:line="340" w:lineRule="exact"/>
              <w:jc w:val="center"/>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bl>
    <w:p>
      <w:pPr>
        <w:spacing w:line="560" w:lineRule="exact"/>
        <w:ind w:firstLine="640" w:firstLineChars="200"/>
        <w:rPr>
          <w:rFonts w:hAnsi="黑体" w:eastAsia="黑体"/>
          <w:kern w:val="0"/>
          <w:sz w:val="32"/>
          <w:szCs w:val="32"/>
          <w:highlight w:val="none"/>
        </w:rPr>
      </w:pPr>
      <w:r>
        <w:rPr>
          <w:rFonts w:hAnsi="黑体" w:eastAsia="黑体"/>
          <w:kern w:val="0"/>
          <w:sz w:val="32"/>
          <w:szCs w:val="32"/>
          <w:highlight w:val="none"/>
        </w:rPr>
        <w:t>四、</w:t>
      </w:r>
      <w:r>
        <w:rPr>
          <w:rFonts w:hint="eastAsia" w:ascii="黑体" w:hAnsi="Times New Roman" w:eastAsia="黑体" w:cs="Times New Roman"/>
          <w:bCs/>
          <w:color w:val="000000"/>
          <w:sz w:val="32"/>
          <w:szCs w:val="32"/>
        </w:rPr>
        <w:t>政府信息公开行政复议、行政诉讼情况</w:t>
      </w:r>
    </w:p>
    <w:tbl>
      <w:tblPr>
        <w:tblStyle w:val="9"/>
        <w:tblW w:w="90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3"/>
        <w:gridCol w:w="603"/>
        <w:gridCol w:w="603"/>
        <w:gridCol w:w="603"/>
        <w:gridCol w:w="603"/>
        <w:gridCol w:w="603"/>
        <w:gridCol w:w="603"/>
        <w:gridCol w:w="603"/>
        <w:gridCol w:w="603"/>
        <w:gridCol w:w="603"/>
        <w:gridCol w:w="603"/>
        <w:gridCol w:w="603"/>
        <w:gridCol w:w="603"/>
        <w:gridCol w:w="604"/>
        <w:gridCol w:w="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015" w:type="dxa"/>
            <w:gridSpan w:val="5"/>
          </w:tcPr>
          <w:p>
            <w:pPr>
              <w:pStyle w:val="8"/>
              <w:spacing w:before="0" w:beforeAutospacing="0" w:after="0" w:afterAutospacing="0" w:line="400" w:lineRule="exact"/>
              <w:jc w:val="center"/>
              <w:rPr>
                <w:rFonts w:ascii="Times New Roman" w:hAnsi="Times New Roman" w:eastAsia="方正黑体简体" w:cs="Times New Roman"/>
                <w:b/>
                <w:bCs/>
                <w:color w:val="000000"/>
              </w:rPr>
            </w:pPr>
            <w:r>
              <w:rPr>
                <w:rFonts w:hint="eastAsia"/>
                <w:color w:val="000000"/>
              </w:rPr>
              <w:t>行政复议</w:t>
            </w:r>
          </w:p>
        </w:tc>
        <w:tc>
          <w:tcPr>
            <w:tcW w:w="6032" w:type="dxa"/>
            <w:gridSpan w:val="10"/>
          </w:tcPr>
          <w:p>
            <w:pPr>
              <w:pStyle w:val="8"/>
              <w:spacing w:before="0" w:beforeAutospacing="0" w:after="0" w:afterAutospacing="0" w:line="400" w:lineRule="exact"/>
              <w:jc w:val="center"/>
              <w:rPr>
                <w:rFonts w:ascii="Times New Roman" w:hAnsi="Times New Roman" w:eastAsia="方正黑体简体" w:cs="Times New Roman"/>
                <w:b/>
                <w:bCs/>
                <w:color w:val="000000"/>
              </w:rPr>
            </w:pPr>
            <w:r>
              <w:rPr>
                <w:rFonts w:hint="eastAsia"/>
                <w:color w:val="000000"/>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03" w:type="dxa"/>
            <w:vMerge w:val="restart"/>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结果维持</w:t>
            </w:r>
          </w:p>
        </w:tc>
        <w:tc>
          <w:tcPr>
            <w:tcW w:w="603" w:type="dxa"/>
            <w:vMerge w:val="restart"/>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结果纠正</w:t>
            </w:r>
          </w:p>
        </w:tc>
        <w:tc>
          <w:tcPr>
            <w:tcW w:w="603" w:type="dxa"/>
            <w:vMerge w:val="restart"/>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其他结果</w:t>
            </w:r>
          </w:p>
        </w:tc>
        <w:tc>
          <w:tcPr>
            <w:tcW w:w="603" w:type="dxa"/>
            <w:vMerge w:val="restart"/>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尚未审结</w:t>
            </w:r>
          </w:p>
        </w:tc>
        <w:tc>
          <w:tcPr>
            <w:tcW w:w="603" w:type="dxa"/>
            <w:vMerge w:val="restart"/>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总计</w:t>
            </w:r>
          </w:p>
        </w:tc>
        <w:tc>
          <w:tcPr>
            <w:tcW w:w="3015" w:type="dxa"/>
            <w:gridSpan w:val="5"/>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未经复议直接起诉</w:t>
            </w:r>
          </w:p>
        </w:tc>
        <w:tc>
          <w:tcPr>
            <w:tcW w:w="3017" w:type="dxa"/>
            <w:gridSpan w:val="5"/>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03" w:type="dxa"/>
            <w:vMerge w:val="continue"/>
          </w:tcPr>
          <w:p>
            <w:pPr>
              <w:pStyle w:val="8"/>
              <w:spacing w:before="0" w:beforeAutospacing="0" w:after="0" w:afterAutospacing="0" w:line="400" w:lineRule="exact"/>
              <w:jc w:val="both"/>
              <w:rPr>
                <w:rFonts w:ascii="Times New Roman" w:hAnsi="Times New Roman" w:eastAsia="方正黑体简体" w:cs="Times New Roman"/>
                <w:b/>
                <w:bCs/>
                <w:color w:val="000000"/>
              </w:rPr>
            </w:pPr>
          </w:p>
        </w:tc>
        <w:tc>
          <w:tcPr>
            <w:tcW w:w="603" w:type="dxa"/>
            <w:vMerge w:val="continue"/>
          </w:tcPr>
          <w:p>
            <w:pPr>
              <w:pStyle w:val="8"/>
              <w:spacing w:before="0" w:beforeAutospacing="0" w:after="0" w:afterAutospacing="0" w:line="400" w:lineRule="exact"/>
              <w:jc w:val="both"/>
              <w:rPr>
                <w:rFonts w:ascii="Times New Roman" w:hAnsi="Times New Roman" w:eastAsia="方正黑体简体" w:cs="Times New Roman"/>
                <w:b/>
                <w:bCs/>
                <w:color w:val="000000"/>
              </w:rPr>
            </w:pPr>
          </w:p>
        </w:tc>
        <w:tc>
          <w:tcPr>
            <w:tcW w:w="603" w:type="dxa"/>
            <w:vMerge w:val="continue"/>
          </w:tcPr>
          <w:p>
            <w:pPr>
              <w:pStyle w:val="8"/>
              <w:spacing w:before="0" w:beforeAutospacing="0" w:after="0" w:afterAutospacing="0" w:line="400" w:lineRule="exact"/>
              <w:jc w:val="both"/>
              <w:rPr>
                <w:rFonts w:ascii="Times New Roman" w:hAnsi="Times New Roman" w:eastAsia="方正黑体简体" w:cs="Times New Roman"/>
                <w:b/>
                <w:bCs/>
                <w:color w:val="000000"/>
              </w:rPr>
            </w:pPr>
          </w:p>
        </w:tc>
        <w:tc>
          <w:tcPr>
            <w:tcW w:w="603" w:type="dxa"/>
            <w:vMerge w:val="continue"/>
          </w:tcPr>
          <w:p>
            <w:pPr>
              <w:pStyle w:val="8"/>
              <w:spacing w:before="0" w:beforeAutospacing="0" w:after="0" w:afterAutospacing="0" w:line="400" w:lineRule="exact"/>
              <w:jc w:val="both"/>
              <w:rPr>
                <w:rFonts w:ascii="Times New Roman" w:hAnsi="Times New Roman" w:eastAsia="方正黑体简体" w:cs="Times New Roman"/>
                <w:b/>
                <w:bCs/>
                <w:color w:val="000000"/>
              </w:rPr>
            </w:pPr>
          </w:p>
        </w:tc>
        <w:tc>
          <w:tcPr>
            <w:tcW w:w="603" w:type="dxa"/>
            <w:vMerge w:val="continue"/>
          </w:tcPr>
          <w:p>
            <w:pPr>
              <w:pStyle w:val="8"/>
              <w:spacing w:before="0" w:beforeAutospacing="0" w:after="0" w:afterAutospacing="0" w:line="400" w:lineRule="exact"/>
              <w:jc w:val="both"/>
              <w:rPr>
                <w:rFonts w:ascii="Times New Roman" w:hAnsi="Times New Roman" w:eastAsia="方正黑体简体" w:cs="Times New Roman"/>
                <w:b/>
                <w:bCs/>
                <w:color w:val="000000"/>
              </w:rPr>
            </w:pP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结果维持</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结果纠正</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其他结果</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尚未审结</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总计</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结果维持</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结果纠正</w:t>
            </w:r>
          </w:p>
        </w:tc>
        <w:tc>
          <w:tcPr>
            <w:tcW w:w="603"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其他结果</w:t>
            </w:r>
          </w:p>
        </w:tc>
        <w:tc>
          <w:tcPr>
            <w:tcW w:w="604"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尚未审结</w:t>
            </w:r>
          </w:p>
        </w:tc>
        <w:tc>
          <w:tcPr>
            <w:tcW w:w="604" w:type="dxa"/>
          </w:tcPr>
          <w:p>
            <w:pPr>
              <w:pStyle w:val="8"/>
              <w:spacing w:before="0" w:beforeAutospacing="0" w:after="0" w:afterAutospacing="0" w:line="400" w:lineRule="exact"/>
              <w:jc w:val="both"/>
              <w:rPr>
                <w:rFonts w:ascii="Times New Roman" w:hAnsi="Times New Roman" w:eastAsia="方正黑体简体" w:cs="Times New Roman"/>
                <w:b/>
                <w:bCs/>
                <w:color w:val="000000"/>
              </w:rPr>
            </w:pPr>
            <w:r>
              <w:rPr>
                <w:rFonts w:hint="eastAsia"/>
                <w:color w:val="00000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1</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1</w:t>
            </w:r>
          </w:p>
        </w:tc>
        <w:tc>
          <w:tcPr>
            <w:tcW w:w="603" w:type="dxa"/>
          </w:tcPr>
          <w:p>
            <w:pPr>
              <w:pStyle w:val="8"/>
              <w:spacing w:before="0" w:beforeAutospacing="0" w:after="0" w:afterAutospacing="0" w:line="400" w:lineRule="exact"/>
              <w:jc w:val="center"/>
              <w:rPr>
                <w:rFonts w:hint="default"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4"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4" w:type="dxa"/>
          </w:tcPr>
          <w:p>
            <w:pPr>
              <w:pStyle w:val="8"/>
              <w:spacing w:before="0" w:beforeAutospacing="0" w:after="0" w:afterAutospacing="0" w:line="400" w:lineRule="exact"/>
              <w:jc w:val="center"/>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r>
    </w:tbl>
    <w:p>
      <w:pPr>
        <w:spacing w:line="560" w:lineRule="exact"/>
        <w:ind w:firstLine="640" w:firstLineChars="200"/>
        <w:rPr>
          <w:kern w:val="0"/>
          <w:sz w:val="24"/>
          <w:highlight w:val="none"/>
        </w:rPr>
      </w:pPr>
      <w:r>
        <w:rPr>
          <w:rFonts w:hint="eastAsia" w:hAnsi="黑体" w:eastAsia="黑体"/>
          <w:kern w:val="0"/>
          <w:sz w:val="32"/>
          <w:szCs w:val="32"/>
          <w:highlight w:val="none"/>
          <w:lang w:eastAsia="zh-CN"/>
        </w:rPr>
        <w:t>五、</w:t>
      </w:r>
      <w:r>
        <w:rPr>
          <w:rFonts w:hint="eastAsia" w:hAnsi="黑体" w:eastAsia="黑体"/>
          <w:kern w:val="0"/>
          <w:sz w:val="32"/>
          <w:szCs w:val="32"/>
          <w:highlight w:val="none"/>
        </w:rPr>
        <w:t>存在的主要问题及改进情况</w:t>
      </w:r>
    </w:p>
    <w:p>
      <w:pPr>
        <w:spacing w:line="560" w:lineRule="exact"/>
        <w:ind w:firstLine="640" w:firstLineChars="200"/>
        <w:rPr>
          <w:rFonts w:hint="eastAsia" w:eastAsia="楷体_GB2312"/>
          <w:bCs/>
          <w:sz w:val="32"/>
          <w:szCs w:val="32"/>
          <w:lang w:eastAsia="zh-CN"/>
        </w:rPr>
      </w:pPr>
      <w:r>
        <w:rPr>
          <w:rFonts w:eastAsia="楷体_GB2312"/>
          <w:bCs/>
          <w:sz w:val="32"/>
          <w:szCs w:val="32"/>
        </w:rPr>
        <w:t>（一）主要问题</w:t>
      </w:r>
      <w:r>
        <w:rPr>
          <w:rFonts w:hint="eastAsia" w:eastAsia="楷体_GB2312"/>
          <w:bCs/>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rPr>
        <w:t>一是</w:t>
      </w:r>
      <w:r>
        <w:rPr>
          <w:rFonts w:hint="eastAsia" w:eastAsia="仿宋_GB2312"/>
          <w:sz w:val="32"/>
          <w:szCs w:val="32"/>
          <w:lang w:eastAsia="zh-CN"/>
        </w:rPr>
        <w:t>各部门工作人员政府信息公开意识强弱不一，认识有待提高；</w:t>
      </w:r>
    </w:p>
    <w:p>
      <w:pPr>
        <w:spacing w:line="560" w:lineRule="exact"/>
        <w:ind w:firstLine="640" w:firstLineChars="200"/>
        <w:rPr>
          <w:rFonts w:hint="eastAsia" w:eastAsia="仿宋_GB2312"/>
          <w:sz w:val="32"/>
          <w:szCs w:val="32"/>
          <w:lang w:eastAsia="zh-CN"/>
        </w:rPr>
      </w:pPr>
      <w:r>
        <w:rPr>
          <w:rFonts w:hint="eastAsia" w:eastAsia="仿宋_GB2312"/>
          <w:sz w:val="32"/>
          <w:szCs w:val="32"/>
        </w:rPr>
        <w:t>二是</w:t>
      </w:r>
      <w:r>
        <w:rPr>
          <w:rFonts w:hint="eastAsia" w:eastAsia="仿宋_GB2312"/>
          <w:sz w:val="32"/>
          <w:szCs w:val="32"/>
          <w:lang w:eastAsia="zh-CN"/>
        </w:rPr>
        <w:t>政府信息公开形式有待拓展；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三是政府信息公开内容广度和深度还不够。</w:t>
      </w:r>
    </w:p>
    <w:p>
      <w:pPr>
        <w:numPr>
          <w:ilvl w:val="0"/>
          <w:numId w:val="4"/>
        </w:numPr>
        <w:spacing w:line="560" w:lineRule="exact"/>
        <w:ind w:firstLine="640" w:firstLineChars="200"/>
        <w:rPr>
          <w:rFonts w:hint="eastAsia" w:eastAsia="楷体_GB2312"/>
          <w:bCs/>
          <w:sz w:val="32"/>
          <w:szCs w:val="32"/>
          <w:lang w:eastAsia="zh-CN"/>
        </w:rPr>
      </w:pPr>
      <w:r>
        <w:rPr>
          <w:rFonts w:eastAsia="楷体_GB2312"/>
          <w:bCs/>
          <w:sz w:val="32"/>
          <w:szCs w:val="32"/>
        </w:rPr>
        <w:t>改进措施</w:t>
      </w:r>
      <w:r>
        <w:rPr>
          <w:rFonts w:hint="eastAsia" w:eastAsia="楷体_GB2312"/>
          <w:bCs/>
          <w:sz w:val="32"/>
          <w:szCs w:val="32"/>
          <w:lang w:eastAsia="zh-CN"/>
        </w:rPr>
        <w:t>：</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rPr>
        <w:t>一</w:t>
      </w:r>
      <w:r>
        <w:rPr>
          <w:rFonts w:hint="eastAsia" w:eastAsia="仿宋_GB2312"/>
          <w:sz w:val="32"/>
          <w:szCs w:val="32"/>
          <w:lang w:eastAsia="zh-CN"/>
        </w:rPr>
        <w:t>是开展多种形式的培训和交流活动，提高机关工作人员政府信息公开意识，开阔信息公开视野，加强信息内容提炼；</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二是通过增加</w:t>
      </w:r>
      <w:r>
        <w:rPr>
          <w:rFonts w:hint="eastAsia" w:eastAsia="仿宋_GB2312"/>
          <w:sz w:val="32"/>
          <w:szCs w:val="32"/>
          <w:lang w:val="en-US" w:eastAsia="zh-CN"/>
        </w:rPr>
        <w:t>LED滚动屏等</w:t>
      </w:r>
      <w:r>
        <w:rPr>
          <w:rFonts w:hint="eastAsia" w:eastAsia="仿宋_GB2312"/>
          <w:sz w:val="32"/>
          <w:szCs w:val="32"/>
          <w:lang w:eastAsia="zh-CN"/>
        </w:rPr>
        <w:t>形式丰富政府信息公开渠道，积极探索新措施、新方法、新途径，丰富形式，创新手段；</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三是加强政府信息公开工作人员与业务科室、有关单位的衔接与沟通，依据新发展新变化，</w:t>
      </w:r>
      <w:r>
        <w:rPr>
          <w:rFonts w:hint="eastAsia" w:eastAsia="仿宋_GB2312"/>
          <w:sz w:val="32"/>
          <w:szCs w:val="32"/>
        </w:rPr>
        <w:t>继续对政</w:t>
      </w:r>
      <w:r>
        <w:rPr>
          <w:rFonts w:hint="eastAsia" w:eastAsia="仿宋_GB2312"/>
          <w:sz w:val="32"/>
          <w:szCs w:val="32"/>
          <w:lang w:eastAsia="zh-CN"/>
        </w:rPr>
        <w:t>府</w:t>
      </w:r>
      <w:r>
        <w:rPr>
          <w:rFonts w:hint="eastAsia" w:eastAsia="仿宋_GB2312"/>
          <w:sz w:val="32"/>
          <w:szCs w:val="32"/>
        </w:rPr>
        <w:t>信息公开目录进行补充</w:t>
      </w:r>
      <w:r>
        <w:rPr>
          <w:rFonts w:hint="eastAsia" w:eastAsia="仿宋_GB2312"/>
          <w:sz w:val="32"/>
          <w:szCs w:val="32"/>
          <w:lang w:eastAsia="zh-CN"/>
        </w:rPr>
        <w:t>和</w:t>
      </w:r>
      <w:r>
        <w:rPr>
          <w:rFonts w:hint="eastAsia" w:eastAsia="仿宋_GB2312"/>
          <w:sz w:val="32"/>
          <w:szCs w:val="32"/>
        </w:rPr>
        <w:t>完善</w:t>
      </w:r>
      <w:r>
        <w:rPr>
          <w:rFonts w:hint="eastAsia" w:eastAsia="仿宋_GB2312"/>
          <w:sz w:val="32"/>
          <w:szCs w:val="32"/>
          <w:lang w:eastAsia="zh-CN"/>
        </w:rPr>
        <w:t>，努力将政府信息收集与公开同步进行，确保信息的及时、准确、全面。</w:t>
      </w:r>
    </w:p>
    <w:p>
      <w:pPr>
        <w:numPr>
          <w:ilvl w:val="0"/>
          <w:numId w:val="5"/>
        </w:numPr>
        <w:spacing w:line="560" w:lineRule="exact"/>
        <w:ind w:firstLine="640" w:firstLineChars="200"/>
        <w:rPr>
          <w:rFonts w:hint="eastAsia" w:hAnsi="黑体" w:eastAsia="黑体"/>
          <w:kern w:val="0"/>
          <w:sz w:val="32"/>
          <w:szCs w:val="32"/>
        </w:rPr>
      </w:pPr>
      <w:r>
        <w:rPr>
          <w:rFonts w:hint="eastAsia" w:hAnsi="黑体" w:eastAsia="黑体"/>
          <w:kern w:val="0"/>
          <w:sz w:val="32"/>
          <w:szCs w:val="32"/>
        </w:rPr>
        <w:t>其他需要报告的事项</w:t>
      </w:r>
    </w:p>
    <w:p>
      <w:pPr>
        <w:numPr>
          <w:ilvl w:val="0"/>
          <w:numId w:val="0"/>
        </w:numPr>
        <w:spacing w:line="560" w:lineRule="exact"/>
        <w:ind w:firstLine="640" w:firstLineChars="200"/>
        <w:rPr>
          <w:rFonts w:hint="eastAsia" w:hAnsi="黑体" w:eastAsia="黑体"/>
          <w:kern w:val="0"/>
          <w:sz w:val="32"/>
          <w:szCs w:val="32"/>
          <w:lang w:eastAsia="zh-CN"/>
        </w:rPr>
      </w:pPr>
      <w:r>
        <w:rPr>
          <w:rFonts w:hint="eastAsia" w:eastAsia="仿宋_GB2312"/>
          <w:sz w:val="32"/>
          <w:szCs w:val="32"/>
          <w:lang w:eastAsia="zh-CN"/>
        </w:rPr>
        <w:t>无。</w:t>
      </w:r>
    </w:p>
    <w:p>
      <w:pPr>
        <w:pStyle w:val="3"/>
        <w:spacing w:line="160" w:lineRule="exact"/>
        <w:rPr>
          <w:rFonts w:ascii="Times New Roman" w:hAnsi="Times New Roman" w:eastAsia="仿宋_GB2312"/>
          <w:sz w:val="32"/>
        </w:rPr>
      </w:pPr>
    </w:p>
    <w:sectPr>
      <w:footerReference r:id="rId3" w:type="default"/>
      <w:footerReference r:id="rId4" w:type="even"/>
      <w:pgSz w:w="11906" w:h="16838"/>
      <w:pgMar w:top="1701" w:right="1701" w:bottom="1701" w:left="170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15" w:leftChars="150" w:right="315" w:rightChars="150"/>
      <w:jc w:val="right"/>
      <w:rPr>
        <w:rStyle w:val="12"/>
        <w:rFonts w:ascii="宋体" w:hAnsi="宋体"/>
        <w:sz w:val="28"/>
        <w:szCs w:val="28"/>
      </w:rPr>
    </w:pPr>
    <w:r>
      <w:rPr>
        <w:rStyle w:val="12"/>
        <w:rFonts w:hint="eastAsia" w:ascii="宋体" w:hAnsi="宋体"/>
        <w:sz w:val="28"/>
        <w:szCs w:val="28"/>
      </w:rPr>
      <w:t xml:space="preserve">— </w:t>
    </w:r>
    <w:r>
      <w:rPr>
        <w:rStyle w:val="12"/>
        <w:rFonts w:hint="eastAsia" w:ascii="仿宋_GB2312" w:hAnsi="宋体" w:eastAsia="仿宋_GB2312"/>
        <w:sz w:val="28"/>
        <w:szCs w:val="28"/>
      </w:rPr>
      <w:fldChar w:fldCharType="begin"/>
    </w:r>
    <w:r>
      <w:rPr>
        <w:rStyle w:val="12"/>
        <w:rFonts w:hint="eastAsia" w:ascii="仿宋_GB2312" w:hAnsi="宋体" w:eastAsia="仿宋_GB2312"/>
        <w:sz w:val="28"/>
        <w:szCs w:val="28"/>
      </w:rPr>
      <w:instrText xml:space="preserve">PAGE  </w:instrText>
    </w:r>
    <w:r>
      <w:rPr>
        <w:rStyle w:val="12"/>
        <w:rFonts w:hint="eastAsia" w:ascii="仿宋_GB2312" w:hAnsi="宋体" w:eastAsia="仿宋_GB2312"/>
        <w:sz w:val="28"/>
        <w:szCs w:val="28"/>
      </w:rPr>
      <w:fldChar w:fldCharType="separate"/>
    </w:r>
    <w:r>
      <w:rPr>
        <w:rStyle w:val="12"/>
        <w:rFonts w:ascii="仿宋_GB2312" w:hAnsi="宋体" w:eastAsia="仿宋_GB2312"/>
        <w:sz w:val="28"/>
        <w:szCs w:val="28"/>
      </w:rPr>
      <w:t>4</w:t>
    </w:r>
    <w:r>
      <w:rPr>
        <w:rStyle w:val="12"/>
        <w:rFonts w:hint="eastAsia" w:ascii="仿宋_GB2312" w:hAnsi="宋体" w:eastAsia="仿宋_GB2312"/>
        <w:sz w:val="28"/>
        <w:szCs w:val="28"/>
      </w:rPr>
      <w:fldChar w:fldCharType="end"/>
    </w:r>
    <w:r>
      <w:rPr>
        <w:rStyle w:val="12"/>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E4443D"/>
    <w:multiLevelType w:val="singleLevel"/>
    <w:tmpl w:val="BCE4443D"/>
    <w:lvl w:ilvl="0" w:tentative="0">
      <w:start w:val="6"/>
      <w:numFmt w:val="chineseCounting"/>
      <w:suff w:val="nothing"/>
      <w:lvlText w:val="%1、"/>
      <w:lvlJc w:val="left"/>
      <w:rPr>
        <w:rFonts w:hint="eastAsia"/>
      </w:rPr>
    </w:lvl>
  </w:abstractNum>
  <w:abstractNum w:abstractNumId="1">
    <w:nsid w:val="DFDC7619"/>
    <w:multiLevelType w:val="singleLevel"/>
    <w:tmpl w:val="DFDC7619"/>
    <w:lvl w:ilvl="0" w:tentative="0">
      <w:start w:val="1"/>
      <w:numFmt w:val="decimal"/>
      <w:suff w:val="nothing"/>
      <w:lvlText w:val="%1、"/>
      <w:lvlJc w:val="left"/>
    </w:lvl>
  </w:abstractNum>
  <w:abstractNum w:abstractNumId="2">
    <w:nsid w:val="00000005"/>
    <w:multiLevelType w:val="multilevel"/>
    <w:tmpl w:val="00000005"/>
    <w:lvl w:ilvl="0" w:tentative="0">
      <w:start w:val="1"/>
      <w:numFmt w:val="japaneseCounting"/>
      <w:pStyle w:val="14"/>
      <w:lvlText w:val="%1、"/>
      <w:lvlJc w:val="left"/>
      <w:pPr>
        <w:tabs>
          <w:tab w:val="left" w:pos="1200"/>
        </w:tabs>
        <w:ind w:left="1200" w:hanging="720"/>
      </w:pPr>
      <w:rPr>
        <w:rFonts w:hint="default"/>
        <w:lang w:val="en-US"/>
      </w:rPr>
    </w:lvl>
    <w:lvl w:ilvl="1" w:tentative="0">
      <w:start w:val="1"/>
      <w:numFmt w:val="japaneseCounting"/>
      <w:lvlText w:val="（%2）"/>
      <w:lvlJc w:val="left"/>
      <w:pPr>
        <w:tabs>
          <w:tab w:val="left" w:pos="1845"/>
        </w:tabs>
        <w:ind w:left="1845" w:hanging="945"/>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2EAEEFE"/>
    <w:multiLevelType w:val="singleLevel"/>
    <w:tmpl w:val="02EAEEFE"/>
    <w:lvl w:ilvl="0" w:tentative="0">
      <w:start w:val="3"/>
      <w:numFmt w:val="chineseCounting"/>
      <w:suff w:val="nothing"/>
      <w:lvlText w:val="%1、"/>
      <w:lvlJc w:val="left"/>
      <w:rPr>
        <w:rFonts w:hint="eastAsia"/>
      </w:rPr>
    </w:lvl>
  </w:abstractNum>
  <w:abstractNum w:abstractNumId="4">
    <w:nsid w:val="0706EB6C"/>
    <w:multiLevelType w:val="singleLevel"/>
    <w:tmpl w:val="0706EB6C"/>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90CDF"/>
    <w:rsid w:val="000259CF"/>
    <w:rsid w:val="000427C0"/>
    <w:rsid w:val="000441E9"/>
    <w:rsid w:val="0005476E"/>
    <w:rsid w:val="0006139B"/>
    <w:rsid w:val="00074E37"/>
    <w:rsid w:val="000838E6"/>
    <w:rsid w:val="00092BA3"/>
    <w:rsid w:val="000A2159"/>
    <w:rsid w:val="000B7174"/>
    <w:rsid w:val="000C06C5"/>
    <w:rsid w:val="000E3516"/>
    <w:rsid w:val="000F795E"/>
    <w:rsid w:val="00100BBB"/>
    <w:rsid w:val="00105DE9"/>
    <w:rsid w:val="00110C9E"/>
    <w:rsid w:val="0011663E"/>
    <w:rsid w:val="00127B3B"/>
    <w:rsid w:val="00127EA4"/>
    <w:rsid w:val="0013346A"/>
    <w:rsid w:val="00133E55"/>
    <w:rsid w:val="0013616F"/>
    <w:rsid w:val="001525F0"/>
    <w:rsid w:val="00155E42"/>
    <w:rsid w:val="001577A5"/>
    <w:rsid w:val="00161778"/>
    <w:rsid w:val="0016368A"/>
    <w:rsid w:val="00170665"/>
    <w:rsid w:val="00171F5D"/>
    <w:rsid w:val="00172E74"/>
    <w:rsid w:val="00173C0E"/>
    <w:rsid w:val="00185DC4"/>
    <w:rsid w:val="001A35B2"/>
    <w:rsid w:val="001B018F"/>
    <w:rsid w:val="001B5406"/>
    <w:rsid w:val="001C1C61"/>
    <w:rsid w:val="001C3B0E"/>
    <w:rsid w:val="001C5D01"/>
    <w:rsid w:val="001E6126"/>
    <w:rsid w:val="001E7598"/>
    <w:rsid w:val="001E7FEE"/>
    <w:rsid w:val="001F129A"/>
    <w:rsid w:val="00201D62"/>
    <w:rsid w:val="00202965"/>
    <w:rsid w:val="00203046"/>
    <w:rsid w:val="002068A0"/>
    <w:rsid w:val="002122BB"/>
    <w:rsid w:val="0022198C"/>
    <w:rsid w:val="00230AE3"/>
    <w:rsid w:val="00247795"/>
    <w:rsid w:val="0025322C"/>
    <w:rsid w:val="00257419"/>
    <w:rsid w:val="002643DD"/>
    <w:rsid w:val="002737BF"/>
    <w:rsid w:val="00276C8D"/>
    <w:rsid w:val="0028005B"/>
    <w:rsid w:val="002812CE"/>
    <w:rsid w:val="00285B8D"/>
    <w:rsid w:val="00287956"/>
    <w:rsid w:val="00287C0E"/>
    <w:rsid w:val="00294CF9"/>
    <w:rsid w:val="0029580E"/>
    <w:rsid w:val="002A0856"/>
    <w:rsid w:val="002A71F6"/>
    <w:rsid w:val="002B69A3"/>
    <w:rsid w:val="002C49E9"/>
    <w:rsid w:val="002C5435"/>
    <w:rsid w:val="002D61CE"/>
    <w:rsid w:val="002D622E"/>
    <w:rsid w:val="002E1F81"/>
    <w:rsid w:val="002E266D"/>
    <w:rsid w:val="002E7692"/>
    <w:rsid w:val="002F3400"/>
    <w:rsid w:val="002F38F8"/>
    <w:rsid w:val="002F3F1A"/>
    <w:rsid w:val="00302337"/>
    <w:rsid w:val="00313979"/>
    <w:rsid w:val="00313FC6"/>
    <w:rsid w:val="0032030C"/>
    <w:rsid w:val="00326665"/>
    <w:rsid w:val="00332D24"/>
    <w:rsid w:val="00332D91"/>
    <w:rsid w:val="00333835"/>
    <w:rsid w:val="00334F93"/>
    <w:rsid w:val="00341718"/>
    <w:rsid w:val="003442C5"/>
    <w:rsid w:val="0035799E"/>
    <w:rsid w:val="00364190"/>
    <w:rsid w:val="00377CD9"/>
    <w:rsid w:val="00383064"/>
    <w:rsid w:val="00383437"/>
    <w:rsid w:val="003B7AF5"/>
    <w:rsid w:val="003C28A4"/>
    <w:rsid w:val="003C7682"/>
    <w:rsid w:val="003D2235"/>
    <w:rsid w:val="003F7A0B"/>
    <w:rsid w:val="00403770"/>
    <w:rsid w:val="00410CD3"/>
    <w:rsid w:val="00412BC8"/>
    <w:rsid w:val="004158C1"/>
    <w:rsid w:val="0042057D"/>
    <w:rsid w:val="00423BAA"/>
    <w:rsid w:val="00423FBA"/>
    <w:rsid w:val="00430806"/>
    <w:rsid w:val="00432549"/>
    <w:rsid w:val="00437BF4"/>
    <w:rsid w:val="00437F5D"/>
    <w:rsid w:val="00443624"/>
    <w:rsid w:val="00444CA0"/>
    <w:rsid w:val="0044624D"/>
    <w:rsid w:val="00447F6F"/>
    <w:rsid w:val="004530C8"/>
    <w:rsid w:val="00457414"/>
    <w:rsid w:val="00464F9E"/>
    <w:rsid w:val="0047158B"/>
    <w:rsid w:val="00471AA5"/>
    <w:rsid w:val="004746B1"/>
    <w:rsid w:val="0047559B"/>
    <w:rsid w:val="00480DE3"/>
    <w:rsid w:val="00480F50"/>
    <w:rsid w:val="0048599F"/>
    <w:rsid w:val="00485A0D"/>
    <w:rsid w:val="00492DE9"/>
    <w:rsid w:val="004965C5"/>
    <w:rsid w:val="00497209"/>
    <w:rsid w:val="004A673C"/>
    <w:rsid w:val="004C1C63"/>
    <w:rsid w:val="004D3CAC"/>
    <w:rsid w:val="004D4BB8"/>
    <w:rsid w:val="004D6A21"/>
    <w:rsid w:val="004E28CC"/>
    <w:rsid w:val="004E2ADF"/>
    <w:rsid w:val="0050182B"/>
    <w:rsid w:val="005055C9"/>
    <w:rsid w:val="00511A67"/>
    <w:rsid w:val="005122CB"/>
    <w:rsid w:val="0052119A"/>
    <w:rsid w:val="0053026E"/>
    <w:rsid w:val="00533426"/>
    <w:rsid w:val="00533FD8"/>
    <w:rsid w:val="00535882"/>
    <w:rsid w:val="0054036E"/>
    <w:rsid w:val="00541808"/>
    <w:rsid w:val="00542204"/>
    <w:rsid w:val="0054535F"/>
    <w:rsid w:val="005463AE"/>
    <w:rsid w:val="0055125B"/>
    <w:rsid w:val="00561824"/>
    <w:rsid w:val="00562370"/>
    <w:rsid w:val="00565211"/>
    <w:rsid w:val="00567F66"/>
    <w:rsid w:val="005747CA"/>
    <w:rsid w:val="00575A2C"/>
    <w:rsid w:val="00581C31"/>
    <w:rsid w:val="005835F7"/>
    <w:rsid w:val="00593E4D"/>
    <w:rsid w:val="00594963"/>
    <w:rsid w:val="00597807"/>
    <w:rsid w:val="005A44B9"/>
    <w:rsid w:val="005A5B4B"/>
    <w:rsid w:val="005C36D8"/>
    <w:rsid w:val="005C44E1"/>
    <w:rsid w:val="005C7A6D"/>
    <w:rsid w:val="005D489E"/>
    <w:rsid w:val="005D5524"/>
    <w:rsid w:val="005F1368"/>
    <w:rsid w:val="005F16D2"/>
    <w:rsid w:val="005F1D28"/>
    <w:rsid w:val="005F2436"/>
    <w:rsid w:val="005F4E4F"/>
    <w:rsid w:val="0060081D"/>
    <w:rsid w:val="006025E9"/>
    <w:rsid w:val="00611A47"/>
    <w:rsid w:val="006132C0"/>
    <w:rsid w:val="0062238D"/>
    <w:rsid w:val="00650435"/>
    <w:rsid w:val="00653943"/>
    <w:rsid w:val="00660E34"/>
    <w:rsid w:val="00661D85"/>
    <w:rsid w:val="006669C9"/>
    <w:rsid w:val="00673E2C"/>
    <w:rsid w:val="006759FC"/>
    <w:rsid w:val="006878E5"/>
    <w:rsid w:val="00690DD2"/>
    <w:rsid w:val="0069184E"/>
    <w:rsid w:val="0069223C"/>
    <w:rsid w:val="006951E6"/>
    <w:rsid w:val="00695F80"/>
    <w:rsid w:val="006A3D89"/>
    <w:rsid w:val="006A5695"/>
    <w:rsid w:val="006A728E"/>
    <w:rsid w:val="006B0A1E"/>
    <w:rsid w:val="006C19FB"/>
    <w:rsid w:val="006C4B1B"/>
    <w:rsid w:val="006C6486"/>
    <w:rsid w:val="006C7F89"/>
    <w:rsid w:val="006E0A4C"/>
    <w:rsid w:val="006F023E"/>
    <w:rsid w:val="006F1888"/>
    <w:rsid w:val="006F30E7"/>
    <w:rsid w:val="00701B01"/>
    <w:rsid w:val="00702B66"/>
    <w:rsid w:val="00706FBB"/>
    <w:rsid w:val="007113FB"/>
    <w:rsid w:val="0071187B"/>
    <w:rsid w:val="007161FF"/>
    <w:rsid w:val="0072739F"/>
    <w:rsid w:val="007337FF"/>
    <w:rsid w:val="00733B52"/>
    <w:rsid w:val="00751834"/>
    <w:rsid w:val="00756E04"/>
    <w:rsid w:val="007620CA"/>
    <w:rsid w:val="00763095"/>
    <w:rsid w:val="00763CAA"/>
    <w:rsid w:val="007701FB"/>
    <w:rsid w:val="0077152D"/>
    <w:rsid w:val="0078064B"/>
    <w:rsid w:val="00780CC6"/>
    <w:rsid w:val="0078116A"/>
    <w:rsid w:val="0078170E"/>
    <w:rsid w:val="00783FF7"/>
    <w:rsid w:val="00786918"/>
    <w:rsid w:val="00786CFF"/>
    <w:rsid w:val="00790CDF"/>
    <w:rsid w:val="0079503E"/>
    <w:rsid w:val="007A74E3"/>
    <w:rsid w:val="007B1898"/>
    <w:rsid w:val="007B6740"/>
    <w:rsid w:val="007D2BD4"/>
    <w:rsid w:val="007D6F53"/>
    <w:rsid w:val="007E462E"/>
    <w:rsid w:val="007E46EC"/>
    <w:rsid w:val="007F2ABB"/>
    <w:rsid w:val="0080110F"/>
    <w:rsid w:val="00801676"/>
    <w:rsid w:val="008016A3"/>
    <w:rsid w:val="00802C63"/>
    <w:rsid w:val="00811F82"/>
    <w:rsid w:val="0082106C"/>
    <w:rsid w:val="00827757"/>
    <w:rsid w:val="00834E89"/>
    <w:rsid w:val="00836DE7"/>
    <w:rsid w:val="0084013D"/>
    <w:rsid w:val="008500C8"/>
    <w:rsid w:val="00852A43"/>
    <w:rsid w:val="00856316"/>
    <w:rsid w:val="00867552"/>
    <w:rsid w:val="00873071"/>
    <w:rsid w:val="00874DE6"/>
    <w:rsid w:val="00882CD9"/>
    <w:rsid w:val="00887A21"/>
    <w:rsid w:val="00896F89"/>
    <w:rsid w:val="008A38F0"/>
    <w:rsid w:val="008B2B38"/>
    <w:rsid w:val="008B4224"/>
    <w:rsid w:val="008B70FD"/>
    <w:rsid w:val="008C3582"/>
    <w:rsid w:val="008C712A"/>
    <w:rsid w:val="008E0154"/>
    <w:rsid w:val="008E0C09"/>
    <w:rsid w:val="008E2C4E"/>
    <w:rsid w:val="00912CF7"/>
    <w:rsid w:val="00913B88"/>
    <w:rsid w:val="00915A2F"/>
    <w:rsid w:val="00915F20"/>
    <w:rsid w:val="0092641B"/>
    <w:rsid w:val="0093245B"/>
    <w:rsid w:val="00936C43"/>
    <w:rsid w:val="00942BFA"/>
    <w:rsid w:val="009512DA"/>
    <w:rsid w:val="00957A1B"/>
    <w:rsid w:val="00960823"/>
    <w:rsid w:val="00962FA3"/>
    <w:rsid w:val="00966F84"/>
    <w:rsid w:val="00974571"/>
    <w:rsid w:val="00982254"/>
    <w:rsid w:val="009849EA"/>
    <w:rsid w:val="00985BAE"/>
    <w:rsid w:val="009969BE"/>
    <w:rsid w:val="009A089F"/>
    <w:rsid w:val="009B04DA"/>
    <w:rsid w:val="009B099F"/>
    <w:rsid w:val="009B4365"/>
    <w:rsid w:val="009B7EFA"/>
    <w:rsid w:val="009C086E"/>
    <w:rsid w:val="009C18B7"/>
    <w:rsid w:val="009D3907"/>
    <w:rsid w:val="009D6E79"/>
    <w:rsid w:val="009E3F0A"/>
    <w:rsid w:val="009E5BCB"/>
    <w:rsid w:val="009E6E1C"/>
    <w:rsid w:val="00A05F79"/>
    <w:rsid w:val="00A0682E"/>
    <w:rsid w:val="00A12E6F"/>
    <w:rsid w:val="00A21C19"/>
    <w:rsid w:val="00A22D64"/>
    <w:rsid w:val="00A24EC5"/>
    <w:rsid w:val="00A3632C"/>
    <w:rsid w:val="00A41020"/>
    <w:rsid w:val="00A45710"/>
    <w:rsid w:val="00A5379F"/>
    <w:rsid w:val="00A54DFD"/>
    <w:rsid w:val="00A70A4E"/>
    <w:rsid w:val="00A74761"/>
    <w:rsid w:val="00A75630"/>
    <w:rsid w:val="00A82DF7"/>
    <w:rsid w:val="00A83E23"/>
    <w:rsid w:val="00A92BB3"/>
    <w:rsid w:val="00AA1887"/>
    <w:rsid w:val="00AA4038"/>
    <w:rsid w:val="00AA5EC0"/>
    <w:rsid w:val="00AA6EFD"/>
    <w:rsid w:val="00AB3546"/>
    <w:rsid w:val="00AC2887"/>
    <w:rsid w:val="00AD0B5A"/>
    <w:rsid w:val="00AE1A82"/>
    <w:rsid w:val="00AE1A93"/>
    <w:rsid w:val="00AE7559"/>
    <w:rsid w:val="00AF08B7"/>
    <w:rsid w:val="00AF7A18"/>
    <w:rsid w:val="00B0001D"/>
    <w:rsid w:val="00B00BE1"/>
    <w:rsid w:val="00B01C74"/>
    <w:rsid w:val="00B04A35"/>
    <w:rsid w:val="00B11296"/>
    <w:rsid w:val="00B148EC"/>
    <w:rsid w:val="00B247C1"/>
    <w:rsid w:val="00B542C3"/>
    <w:rsid w:val="00B560C9"/>
    <w:rsid w:val="00B5772B"/>
    <w:rsid w:val="00B66E47"/>
    <w:rsid w:val="00B71F32"/>
    <w:rsid w:val="00B77477"/>
    <w:rsid w:val="00B80A78"/>
    <w:rsid w:val="00B85D89"/>
    <w:rsid w:val="00B97023"/>
    <w:rsid w:val="00B97A43"/>
    <w:rsid w:val="00B97EF9"/>
    <w:rsid w:val="00BA1E5C"/>
    <w:rsid w:val="00BB0100"/>
    <w:rsid w:val="00BB2360"/>
    <w:rsid w:val="00BB3F13"/>
    <w:rsid w:val="00BB40D3"/>
    <w:rsid w:val="00BB6F11"/>
    <w:rsid w:val="00BC6DF8"/>
    <w:rsid w:val="00BD1639"/>
    <w:rsid w:val="00BD2E63"/>
    <w:rsid w:val="00BF5759"/>
    <w:rsid w:val="00C12743"/>
    <w:rsid w:val="00C24827"/>
    <w:rsid w:val="00C3093B"/>
    <w:rsid w:val="00C34584"/>
    <w:rsid w:val="00C47235"/>
    <w:rsid w:val="00C521DB"/>
    <w:rsid w:val="00C52A0D"/>
    <w:rsid w:val="00C52F2B"/>
    <w:rsid w:val="00C64477"/>
    <w:rsid w:val="00C65A1F"/>
    <w:rsid w:val="00C840DD"/>
    <w:rsid w:val="00C85E3A"/>
    <w:rsid w:val="00C868BC"/>
    <w:rsid w:val="00C934B1"/>
    <w:rsid w:val="00CA0059"/>
    <w:rsid w:val="00CA500A"/>
    <w:rsid w:val="00CB5015"/>
    <w:rsid w:val="00CB6CB3"/>
    <w:rsid w:val="00CC6FD6"/>
    <w:rsid w:val="00CE012A"/>
    <w:rsid w:val="00CE3CFD"/>
    <w:rsid w:val="00CE5FFE"/>
    <w:rsid w:val="00CF78AB"/>
    <w:rsid w:val="00D02DE1"/>
    <w:rsid w:val="00D161F6"/>
    <w:rsid w:val="00D176B9"/>
    <w:rsid w:val="00D30A48"/>
    <w:rsid w:val="00D31B6F"/>
    <w:rsid w:val="00D449F3"/>
    <w:rsid w:val="00D44CFE"/>
    <w:rsid w:val="00D47084"/>
    <w:rsid w:val="00D50D3F"/>
    <w:rsid w:val="00D52B09"/>
    <w:rsid w:val="00D55B9B"/>
    <w:rsid w:val="00D65243"/>
    <w:rsid w:val="00D902BD"/>
    <w:rsid w:val="00D906C4"/>
    <w:rsid w:val="00DA1C82"/>
    <w:rsid w:val="00DA254B"/>
    <w:rsid w:val="00DA3465"/>
    <w:rsid w:val="00DA3A28"/>
    <w:rsid w:val="00DC003B"/>
    <w:rsid w:val="00DC34F8"/>
    <w:rsid w:val="00DC5622"/>
    <w:rsid w:val="00DC5E27"/>
    <w:rsid w:val="00DD3A89"/>
    <w:rsid w:val="00DE2833"/>
    <w:rsid w:val="00DF3FA9"/>
    <w:rsid w:val="00E00211"/>
    <w:rsid w:val="00E01285"/>
    <w:rsid w:val="00E054AD"/>
    <w:rsid w:val="00E0716A"/>
    <w:rsid w:val="00E114A8"/>
    <w:rsid w:val="00E11B61"/>
    <w:rsid w:val="00E1238B"/>
    <w:rsid w:val="00E23906"/>
    <w:rsid w:val="00E27CFC"/>
    <w:rsid w:val="00E31A97"/>
    <w:rsid w:val="00E45E22"/>
    <w:rsid w:val="00E55452"/>
    <w:rsid w:val="00E57C35"/>
    <w:rsid w:val="00E7365B"/>
    <w:rsid w:val="00E73749"/>
    <w:rsid w:val="00E77802"/>
    <w:rsid w:val="00E849A7"/>
    <w:rsid w:val="00E84C0D"/>
    <w:rsid w:val="00E90B5D"/>
    <w:rsid w:val="00E91B18"/>
    <w:rsid w:val="00E94D17"/>
    <w:rsid w:val="00EA5465"/>
    <w:rsid w:val="00EA78AF"/>
    <w:rsid w:val="00EB6D59"/>
    <w:rsid w:val="00EE7AB6"/>
    <w:rsid w:val="00EF47B3"/>
    <w:rsid w:val="00EF484A"/>
    <w:rsid w:val="00F027E3"/>
    <w:rsid w:val="00F062E7"/>
    <w:rsid w:val="00F1614C"/>
    <w:rsid w:val="00F23E5F"/>
    <w:rsid w:val="00F27892"/>
    <w:rsid w:val="00F32AB1"/>
    <w:rsid w:val="00F331B2"/>
    <w:rsid w:val="00F35D35"/>
    <w:rsid w:val="00F43324"/>
    <w:rsid w:val="00F55DCC"/>
    <w:rsid w:val="00F62617"/>
    <w:rsid w:val="00F64CB8"/>
    <w:rsid w:val="00F7267C"/>
    <w:rsid w:val="00F77020"/>
    <w:rsid w:val="00F80192"/>
    <w:rsid w:val="00F80D5F"/>
    <w:rsid w:val="00F81527"/>
    <w:rsid w:val="00F8272D"/>
    <w:rsid w:val="00F905B5"/>
    <w:rsid w:val="00F90E63"/>
    <w:rsid w:val="00F92CC8"/>
    <w:rsid w:val="00FA297E"/>
    <w:rsid w:val="00FA3313"/>
    <w:rsid w:val="00FA3BC8"/>
    <w:rsid w:val="00FB0F80"/>
    <w:rsid w:val="00FC3698"/>
    <w:rsid w:val="00FC4B5E"/>
    <w:rsid w:val="00FC5EC3"/>
    <w:rsid w:val="00FD43D0"/>
    <w:rsid w:val="00FD4671"/>
    <w:rsid w:val="00FE2072"/>
    <w:rsid w:val="00FF569E"/>
    <w:rsid w:val="00FF6B63"/>
    <w:rsid w:val="00FF6DD9"/>
    <w:rsid w:val="014131DC"/>
    <w:rsid w:val="02D332F2"/>
    <w:rsid w:val="02EB6048"/>
    <w:rsid w:val="03191F0E"/>
    <w:rsid w:val="03A0120A"/>
    <w:rsid w:val="03CB290A"/>
    <w:rsid w:val="04626BEE"/>
    <w:rsid w:val="046467A9"/>
    <w:rsid w:val="047C263F"/>
    <w:rsid w:val="04A21D6C"/>
    <w:rsid w:val="04EA5858"/>
    <w:rsid w:val="05210808"/>
    <w:rsid w:val="0555723D"/>
    <w:rsid w:val="05B548AA"/>
    <w:rsid w:val="06554944"/>
    <w:rsid w:val="069F4906"/>
    <w:rsid w:val="06F67E98"/>
    <w:rsid w:val="06F842C7"/>
    <w:rsid w:val="07197D7C"/>
    <w:rsid w:val="076C422B"/>
    <w:rsid w:val="07862035"/>
    <w:rsid w:val="07A74ECE"/>
    <w:rsid w:val="07D560EB"/>
    <w:rsid w:val="07FB2F4C"/>
    <w:rsid w:val="08356B71"/>
    <w:rsid w:val="08A90E25"/>
    <w:rsid w:val="09D652D3"/>
    <w:rsid w:val="0A1B5308"/>
    <w:rsid w:val="0B1428E9"/>
    <w:rsid w:val="0B6D4B05"/>
    <w:rsid w:val="0BC626DC"/>
    <w:rsid w:val="0C28655A"/>
    <w:rsid w:val="0D4D46B6"/>
    <w:rsid w:val="0E6420AA"/>
    <w:rsid w:val="0ECA14C2"/>
    <w:rsid w:val="0F205F43"/>
    <w:rsid w:val="0F303A69"/>
    <w:rsid w:val="0FD66987"/>
    <w:rsid w:val="0FEE06CE"/>
    <w:rsid w:val="102C7B12"/>
    <w:rsid w:val="102E5827"/>
    <w:rsid w:val="1040783D"/>
    <w:rsid w:val="11691235"/>
    <w:rsid w:val="11C77DC0"/>
    <w:rsid w:val="11CC23D1"/>
    <w:rsid w:val="127E2AAC"/>
    <w:rsid w:val="12E92EA5"/>
    <w:rsid w:val="130104A9"/>
    <w:rsid w:val="13044D98"/>
    <w:rsid w:val="1329310C"/>
    <w:rsid w:val="151973D0"/>
    <w:rsid w:val="151A6CDE"/>
    <w:rsid w:val="15F93986"/>
    <w:rsid w:val="1686408E"/>
    <w:rsid w:val="17DA6636"/>
    <w:rsid w:val="181E2B5C"/>
    <w:rsid w:val="18360C26"/>
    <w:rsid w:val="18535688"/>
    <w:rsid w:val="185F1986"/>
    <w:rsid w:val="187161DD"/>
    <w:rsid w:val="1AAC3616"/>
    <w:rsid w:val="1B8C144F"/>
    <w:rsid w:val="1B991584"/>
    <w:rsid w:val="1BBB74D0"/>
    <w:rsid w:val="1BD822C0"/>
    <w:rsid w:val="1C112C54"/>
    <w:rsid w:val="1C2E62FA"/>
    <w:rsid w:val="1C8A2259"/>
    <w:rsid w:val="1CD41F12"/>
    <w:rsid w:val="1CE65CFE"/>
    <w:rsid w:val="1D075C62"/>
    <w:rsid w:val="1D1C4F53"/>
    <w:rsid w:val="1D2B5623"/>
    <w:rsid w:val="1DB83B1B"/>
    <w:rsid w:val="1E062A06"/>
    <w:rsid w:val="1E686F95"/>
    <w:rsid w:val="1E971514"/>
    <w:rsid w:val="1F2C3984"/>
    <w:rsid w:val="20324B38"/>
    <w:rsid w:val="2070474B"/>
    <w:rsid w:val="211561FE"/>
    <w:rsid w:val="21265FEF"/>
    <w:rsid w:val="212E7DA7"/>
    <w:rsid w:val="21675312"/>
    <w:rsid w:val="21F22148"/>
    <w:rsid w:val="224D4A64"/>
    <w:rsid w:val="232C7F1C"/>
    <w:rsid w:val="236443B8"/>
    <w:rsid w:val="237E58A0"/>
    <w:rsid w:val="23AF60C1"/>
    <w:rsid w:val="23EB17DB"/>
    <w:rsid w:val="23EB2431"/>
    <w:rsid w:val="24480105"/>
    <w:rsid w:val="24D30C2F"/>
    <w:rsid w:val="24EF5425"/>
    <w:rsid w:val="25586E1A"/>
    <w:rsid w:val="25BA69D7"/>
    <w:rsid w:val="263803FF"/>
    <w:rsid w:val="27815992"/>
    <w:rsid w:val="27E449B6"/>
    <w:rsid w:val="287C4AF6"/>
    <w:rsid w:val="28BD2171"/>
    <w:rsid w:val="28BF2604"/>
    <w:rsid w:val="29B91B70"/>
    <w:rsid w:val="2AB4238F"/>
    <w:rsid w:val="2B803F2F"/>
    <w:rsid w:val="2CE348EB"/>
    <w:rsid w:val="2D3935EF"/>
    <w:rsid w:val="2D5373A7"/>
    <w:rsid w:val="2E4C3A4B"/>
    <w:rsid w:val="2E527469"/>
    <w:rsid w:val="2EDC2B8F"/>
    <w:rsid w:val="2F5858F6"/>
    <w:rsid w:val="2F6700A5"/>
    <w:rsid w:val="2FD74FE5"/>
    <w:rsid w:val="2FE02872"/>
    <w:rsid w:val="30913E44"/>
    <w:rsid w:val="309B25B4"/>
    <w:rsid w:val="30C34297"/>
    <w:rsid w:val="30C64445"/>
    <w:rsid w:val="30CE547C"/>
    <w:rsid w:val="312F224F"/>
    <w:rsid w:val="319D3C17"/>
    <w:rsid w:val="31A76765"/>
    <w:rsid w:val="31DC7A10"/>
    <w:rsid w:val="32011511"/>
    <w:rsid w:val="328F5A4D"/>
    <w:rsid w:val="333B368D"/>
    <w:rsid w:val="353E6752"/>
    <w:rsid w:val="35E10B5F"/>
    <w:rsid w:val="35F80341"/>
    <w:rsid w:val="364A03BB"/>
    <w:rsid w:val="36D37CAD"/>
    <w:rsid w:val="37D96A14"/>
    <w:rsid w:val="380D6409"/>
    <w:rsid w:val="38275F2D"/>
    <w:rsid w:val="383F32CF"/>
    <w:rsid w:val="390C3786"/>
    <w:rsid w:val="390E2C6F"/>
    <w:rsid w:val="39197577"/>
    <w:rsid w:val="39CF6C05"/>
    <w:rsid w:val="3A947097"/>
    <w:rsid w:val="3B0B72A8"/>
    <w:rsid w:val="3B2531D9"/>
    <w:rsid w:val="3BE863A3"/>
    <w:rsid w:val="3BF42961"/>
    <w:rsid w:val="3BF72722"/>
    <w:rsid w:val="3C054509"/>
    <w:rsid w:val="3C1B6AE8"/>
    <w:rsid w:val="3C5075FE"/>
    <w:rsid w:val="3C827694"/>
    <w:rsid w:val="3C9E48F1"/>
    <w:rsid w:val="3CAC3ACB"/>
    <w:rsid w:val="3CB322B8"/>
    <w:rsid w:val="3D727186"/>
    <w:rsid w:val="3D8B1C40"/>
    <w:rsid w:val="3E91495F"/>
    <w:rsid w:val="3F1C747A"/>
    <w:rsid w:val="3F241926"/>
    <w:rsid w:val="3F402091"/>
    <w:rsid w:val="3F7E5AAD"/>
    <w:rsid w:val="3F9A146F"/>
    <w:rsid w:val="3FBC1911"/>
    <w:rsid w:val="40280F61"/>
    <w:rsid w:val="40862D62"/>
    <w:rsid w:val="40BB5C7E"/>
    <w:rsid w:val="41650314"/>
    <w:rsid w:val="41B20614"/>
    <w:rsid w:val="41DE0142"/>
    <w:rsid w:val="41E860F9"/>
    <w:rsid w:val="429B1C56"/>
    <w:rsid w:val="43092222"/>
    <w:rsid w:val="43971BD3"/>
    <w:rsid w:val="43AF2C78"/>
    <w:rsid w:val="43BA211D"/>
    <w:rsid w:val="444530DF"/>
    <w:rsid w:val="44B60168"/>
    <w:rsid w:val="44B66AA9"/>
    <w:rsid w:val="44C94852"/>
    <w:rsid w:val="45942CD4"/>
    <w:rsid w:val="46571203"/>
    <w:rsid w:val="469337A2"/>
    <w:rsid w:val="46CD3C4E"/>
    <w:rsid w:val="476706E6"/>
    <w:rsid w:val="478B5427"/>
    <w:rsid w:val="47C32EED"/>
    <w:rsid w:val="48091D61"/>
    <w:rsid w:val="48374B90"/>
    <w:rsid w:val="485F7618"/>
    <w:rsid w:val="487A0714"/>
    <w:rsid w:val="494D7F71"/>
    <w:rsid w:val="495C7602"/>
    <w:rsid w:val="49E5165B"/>
    <w:rsid w:val="4A2859A3"/>
    <w:rsid w:val="4AAB39DB"/>
    <w:rsid w:val="4AD74318"/>
    <w:rsid w:val="4B016B92"/>
    <w:rsid w:val="4B4C61A0"/>
    <w:rsid w:val="4BCC603E"/>
    <w:rsid w:val="4BE80B39"/>
    <w:rsid w:val="4C5734DE"/>
    <w:rsid w:val="4CDC3654"/>
    <w:rsid w:val="4D0842DF"/>
    <w:rsid w:val="4E896A6D"/>
    <w:rsid w:val="4F0B7600"/>
    <w:rsid w:val="4F10212E"/>
    <w:rsid w:val="4F256E2B"/>
    <w:rsid w:val="4FBB23C1"/>
    <w:rsid w:val="4FCD7FB2"/>
    <w:rsid w:val="500277BB"/>
    <w:rsid w:val="50554388"/>
    <w:rsid w:val="508729C2"/>
    <w:rsid w:val="51712AA8"/>
    <w:rsid w:val="51EE4560"/>
    <w:rsid w:val="51F54ED5"/>
    <w:rsid w:val="525F6F15"/>
    <w:rsid w:val="52643EEB"/>
    <w:rsid w:val="52783A01"/>
    <w:rsid w:val="52784294"/>
    <w:rsid w:val="528837EB"/>
    <w:rsid w:val="536A5D2B"/>
    <w:rsid w:val="54234767"/>
    <w:rsid w:val="559956B6"/>
    <w:rsid w:val="56075278"/>
    <w:rsid w:val="56912019"/>
    <w:rsid w:val="56947BB8"/>
    <w:rsid w:val="571A2623"/>
    <w:rsid w:val="57A56100"/>
    <w:rsid w:val="57C81643"/>
    <w:rsid w:val="58507A53"/>
    <w:rsid w:val="586547CE"/>
    <w:rsid w:val="591C4D27"/>
    <w:rsid w:val="59395318"/>
    <w:rsid w:val="5A040574"/>
    <w:rsid w:val="5A525421"/>
    <w:rsid w:val="5A9018C5"/>
    <w:rsid w:val="5AEA5330"/>
    <w:rsid w:val="5B231B9D"/>
    <w:rsid w:val="5B247ECB"/>
    <w:rsid w:val="5B466076"/>
    <w:rsid w:val="5C3E5F1F"/>
    <w:rsid w:val="5C5E6976"/>
    <w:rsid w:val="5CB7581A"/>
    <w:rsid w:val="5CEE3873"/>
    <w:rsid w:val="5D0372F6"/>
    <w:rsid w:val="5D233178"/>
    <w:rsid w:val="5D483B11"/>
    <w:rsid w:val="5D831D0D"/>
    <w:rsid w:val="5D9C4161"/>
    <w:rsid w:val="5DBC5BD6"/>
    <w:rsid w:val="5E004C2B"/>
    <w:rsid w:val="5E0E4076"/>
    <w:rsid w:val="5E533A8E"/>
    <w:rsid w:val="5E88312F"/>
    <w:rsid w:val="5F0345D4"/>
    <w:rsid w:val="5F2F4E61"/>
    <w:rsid w:val="602641DD"/>
    <w:rsid w:val="61147F50"/>
    <w:rsid w:val="614437F2"/>
    <w:rsid w:val="620A1C79"/>
    <w:rsid w:val="62DB5847"/>
    <w:rsid w:val="62E84F20"/>
    <w:rsid w:val="62F769A9"/>
    <w:rsid w:val="6308758A"/>
    <w:rsid w:val="63205086"/>
    <w:rsid w:val="633F650B"/>
    <w:rsid w:val="63454FE6"/>
    <w:rsid w:val="63694ABD"/>
    <w:rsid w:val="63FE71EB"/>
    <w:rsid w:val="647F3C9E"/>
    <w:rsid w:val="64847B03"/>
    <w:rsid w:val="65060CAA"/>
    <w:rsid w:val="65E12B10"/>
    <w:rsid w:val="661123C8"/>
    <w:rsid w:val="666D1E79"/>
    <w:rsid w:val="666F3AE4"/>
    <w:rsid w:val="66EB70A4"/>
    <w:rsid w:val="6792578B"/>
    <w:rsid w:val="68224E15"/>
    <w:rsid w:val="68CD64A1"/>
    <w:rsid w:val="694113FF"/>
    <w:rsid w:val="69793F68"/>
    <w:rsid w:val="697D7C93"/>
    <w:rsid w:val="69D77192"/>
    <w:rsid w:val="69F92377"/>
    <w:rsid w:val="6A0F6374"/>
    <w:rsid w:val="6A9A7796"/>
    <w:rsid w:val="6AAF6CB9"/>
    <w:rsid w:val="6AD2477D"/>
    <w:rsid w:val="6AF8321B"/>
    <w:rsid w:val="6BF81E58"/>
    <w:rsid w:val="6CA3558C"/>
    <w:rsid w:val="6CB93691"/>
    <w:rsid w:val="6CF1278F"/>
    <w:rsid w:val="6D296E60"/>
    <w:rsid w:val="6DDC116D"/>
    <w:rsid w:val="6E732E49"/>
    <w:rsid w:val="6ED10A07"/>
    <w:rsid w:val="6F150225"/>
    <w:rsid w:val="6F606AB0"/>
    <w:rsid w:val="6FE32EB2"/>
    <w:rsid w:val="701765AA"/>
    <w:rsid w:val="708B6B4D"/>
    <w:rsid w:val="70EC4B0B"/>
    <w:rsid w:val="70F33868"/>
    <w:rsid w:val="711F0D53"/>
    <w:rsid w:val="71524C21"/>
    <w:rsid w:val="71575381"/>
    <w:rsid w:val="715946A1"/>
    <w:rsid w:val="72124293"/>
    <w:rsid w:val="72ED5302"/>
    <w:rsid w:val="73A84458"/>
    <w:rsid w:val="73D16DC9"/>
    <w:rsid w:val="74065C4D"/>
    <w:rsid w:val="74A7296E"/>
    <w:rsid w:val="74A82A97"/>
    <w:rsid w:val="74F04847"/>
    <w:rsid w:val="753D66F9"/>
    <w:rsid w:val="75487472"/>
    <w:rsid w:val="75E61F60"/>
    <w:rsid w:val="766303F4"/>
    <w:rsid w:val="774A5C8E"/>
    <w:rsid w:val="781E3FB0"/>
    <w:rsid w:val="78286F7E"/>
    <w:rsid w:val="79873ABB"/>
    <w:rsid w:val="79AC7EA4"/>
    <w:rsid w:val="7A4A7F3C"/>
    <w:rsid w:val="7A8954EA"/>
    <w:rsid w:val="7AC03732"/>
    <w:rsid w:val="7B7641A3"/>
    <w:rsid w:val="7C505A3B"/>
    <w:rsid w:val="7C7E132F"/>
    <w:rsid w:val="7D1968EA"/>
    <w:rsid w:val="7D283E40"/>
    <w:rsid w:val="7DA26628"/>
    <w:rsid w:val="7DD74FDF"/>
    <w:rsid w:val="7DF52309"/>
    <w:rsid w:val="7E202C2D"/>
    <w:rsid w:val="7E6C785D"/>
    <w:rsid w:val="7E9A1E57"/>
    <w:rsid w:val="7F5D5D67"/>
    <w:rsid w:val="7FA3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Plain Text"/>
    <w:basedOn w:val="1"/>
    <w:qFormat/>
    <w:uiPriority w:val="0"/>
    <w:rPr>
      <w:rFonts w:ascii="宋体" w:hAnsi="Courier New"/>
      <w:szCs w:val="20"/>
    </w:r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Char1"/>
    <w:basedOn w:val="1"/>
    <w:qFormat/>
    <w:uiPriority w:val="0"/>
    <w:pPr>
      <w:numPr>
        <w:ilvl w:val="0"/>
        <w:numId w:val="1"/>
      </w:numPr>
      <w:spacing w:line="600" w:lineRule="exact"/>
      <w:jc w:val="left"/>
    </w:pPr>
    <w:rPr>
      <w:rFonts w:eastAsia="仿宋_GB2312"/>
      <w:sz w:val="32"/>
      <w:szCs w:val="32"/>
    </w:rPr>
  </w:style>
  <w:style w:type="character" w:customStyle="1" w:styleId="15">
    <w:name w:val="批注框文本 Char"/>
    <w:basedOn w:val="11"/>
    <w:link w:val="5"/>
    <w:qFormat/>
    <w:uiPriority w:val="0"/>
    <w:rPr>
      <w:kern w:val="2"/>
      <w:sz w:val="18"/>
      <w:szCs w:val="18"/>
    </w:rPr>
  </w:style>
  <w:style w:type="character" w:customStyle="1" w:styleId="16">
    <w:name w:val="日期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6C333-DB9B-4EE3-B5F1-E01BC41B0ED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4459</Words>
  <Characters>667</Characters>
  <Lines>5</Lines>
  <Paragraphs>10</Paragraphs>
  <TotalTime>28</TotalTime>
  <ScaleCrop>false</ScaleCrop>
  <LinksUpToDate>false</LinksUpToDate>
  <CharactersWithSpaces>5116</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2018-01-29T03:22:00Z</dcterms:created>
  <dc:creator>Administrator</dc:creator>
  <cp:lastModifiedBy>Administrator</cp:lastModifiedBy>
  <cp:lastPrinted>2015-01-09T01:53:00Z</cp:lastPrinted>
  <dcterms:modified xsi:type="dcterms:W3CDTF">2020-01-17T09:20:52Z</dcterms:modified>
  <dc:title>磁灶镇2013年政府信息公开工作年度报告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