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FF" w:rsidRPr="00732C8F" w:rsidRDefault="001941AB" w:rsidP="00A52C06">
      <w:pPr>
        <w:widowControl/>
        <w:jc w:val="center"/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</w:rPr>
      </w:pPr>
      <w:r w:rsidRPr="001941AB">
        <w:rPr>
          <w:rFonts w:ascii="Times New Roman" w:eastAsia="方正小标宋简体" w:hAnsi="Times New Roman" w:cs="Times New Roman" w:hint="eastAsia"/>
          <w:bCs/>
          <w:color w:val="000000"/>
          <w:kern w:val="0"/>
          <w:sz w:val="32"/>
          <w:szCs w:val="32"/>
        </w:rPr>
        <w:t>新塘街道</w:t>
      </w:r>
      <w:r w:rsidRPr="001941AB">
        <w:rPr>
          <w:rFonts w:ascii="Times New Roman" w:eastAsia="方正小标宋简体" w:hAnsi="Times New Roman" w:cs="Times New Roman" w:hint="eastAsia"/>
          <w:bCs/>
          <w:color w:val="000000"/>
          <w:kern w:val="0"/>
          <w:sz w:val="32"/>
          <w:szCs w:val="32"/>
        </w:rPr>
        <w:t>2020</w:t>
      </w:r>
      <w:r w:rsidRPr="001941AB">
        <w:rPr>
          <w:rFonts w:ascii="Times New Roman" w:eastAsia="方正小标宋简体" w:hAnsi="Times New Roman" w:cs="Times New Roman" w:hint="eastAsia"/>
          <w:bCs/>
          <w:color w:val="000000"/>
          <w:kern w:val="0"/>
          <w:sz w:val="32"/>
          <w:szCs w:val="32"/>
        </w:rPr>
        <w:t>年</w:t>
      </w:r>
      <w:r w:rsidR="00B72CFF" w:rsidRPr="00732C8F">
        <w:rPr>
          <w:rFonts w:ascii="Times New Roman" w:eastAsia="方正小标宋简体" w:hAnsi="Times New Roman" w:cs="Times New Roman"/>
          <w:bCs/>
          <w:color w:val="000000"/>
          <w:kern w:val="0"/>
          <w:sz w:val="32"/>
          <w:szCs w:val="32"/>
        </w:rPr>
        <w:t>政府信息公开工作年度报告</w:t>
      </w:r>
    </w:p>
    <w:p w:rsidR="00F5698E" w:rsidRDefault="00DE1487" w:rsidP="00DE1487">
      <w:pPr>
        <w:widowControl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 xml:space="preserve">    </w:t>
      </w:r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本</w:t>
      </w:r>
      <w:r w:rsidR="00301FF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年度</w:t>
      </w:r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报告系根据《中华人民共和国政府信息公开条例》（以下简称《条例》）、《福建省政府信息公开办法》（以下简称《办法》）规定以及按照省政府办公厅和泉州、晋江市政府办公室部署要求，由</w:t>
      </w:r>
      <w:r w:rsid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晋江市人民政府新塘街道办事处</w:t>
      </w:r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编制。本报告中所列数据统计期限自</w:t>
      </w:r>
      <w:r w:rsid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2020</w:t>
      </w:r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年</w:t>
      </w:r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1</w:t>
      </w:r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月</w:t>
      </w:r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1</w:t>
      </w:r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日起至</w:t>
      </w:r>
      <w:r w:rsid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2020</w:t>
      </w:r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年</w:t>
      </w:r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12</w:t>
      </w:r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月</w:t>
      </w:r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31</w:t>
      </w:r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日止。如对本报告有疑问或意见建议，请与</w:t>
      </w:r>
      <w:r w:rsid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新塘街道办事处</w:t>
      </w:r>
      <w:r w:rsid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党政办</w:t>
      </w:r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联系（地址：</w:t>
      </w:r>
      <w:r w:rsidR="00A463AC" w:rsidRPr="00A463A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福建省晋江市新塘街道福兴路</w:t>
      </w:r>
      <w:r w:rsidR="00A463AC" w:rsidRPr="00A463A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68</w:t>
      </w:r>
      <w:r w:rsidR="00A463AC" w:rsidRPr="00A463A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号</w:t>
      </w:r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，邮编</w:t>
      </w:r>
      <w:r w:rsidR="00A463AC" w:rsidRPr="00A463A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362216</w:t>
      </w:r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，电话：</w:t>
      </w:r>
      <w:r w:rsidR="00A463AC" w:rsidRPr="00A463A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0595—88129928</w:t>
      </w:r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，电子邮箱：</w:t>
      </w:r>
      <w:r w:rsidR="00F5698E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 xml:space="preserve"> </w:t>
      </w:r>
      <w:hyperlink r:id="rId8" w:history="1">
        <w:r w:rsidR="00301FFC" w:rsidRPr="00B500F1">
          <w:rPr>
            <w:rStyle w:val="aa"/>
            <w:rFonts w:ascii="Times New Roman" w:eastAsia="方正仿宋简体" w:hAnsi="Times New Roman" w:cs="Times New Roman"/>
            <w:kern w:val="0"/>
            <w:sz w:val="32"/>
            <w:szCs w:val="32"/>
          </w:rPr>
          <w:t>xtjdzwgk@126.com</w:t>
        </w:r>
      </w:hyperlink>
      <w:r w:rsidR="00841724" w:rsidRPr="0084172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）。</w:t>
      </w:r>
    </w:p>
    <w:p w:rsidR="00301FFC" w:rsidRPr="00732C8F" w:rsidRDefault="00301FFC" w:rsidP="00301FFC">
      <w:pPr>
        <w:pStyle w:val="a5"/>
        <w:spacing w:before="0" w:beforeAutospacing="0" w:after="0" w:afterAutospacing="0" w:line="580" w:lineRule="exact"/>
        <w:jc w:val="both"/>
        <w:rPr>
          <w:rFonts w:ascii="Times New Roman" w:eastAsia="方正黑体简体" w:hAnsi="Times New Roman" w:cs="Times New Roman"/>
          <w:bCs/>
          <w:color w:val="000000"/>
          <w:sz w:val="28"/>
          <w:szCs w:val="28"/>
        </w:rPr>
      </w:pPr>
      <w:r w:rsidRPr="00732C8F">
        <w:rPr>
          <w:rFonts w:ascii="Times New Roman" w:eastAsia="方正黑体简体" w:hAnsi="Times New Roman" w:cs="Times New Roman"/>
          <w:bCs/>
          <w:color w:val="000000"/>
          <w:sz w:val="28"/>
          <w:szCs w:val="28"/>
        </w:rPr>
        <w:t>一、总体情况</w:t>
      </w:r>
    </w:p>
    <w:p w:rsidR="00304307" w:rsidRDefault="00304307" w:rsidP="00304307">
      <w:pPr>
        <w:widowControl/>
        <w:ind w:firstLine="48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 w:rsidRP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（一）主动公开政府信息情况</w:t>
      </w:r>
    </w:p>
    <w:p w:rsidR="00304307" w:rsidRDefault="00301FFC" w:rsidP="00304307">
      <w:pPr>
        <w:widowControl/>
        <w:ind w:firstLine="48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2020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年新塘街道主动公开信息数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178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条，</w:t>
      </w:r>
      <w:r w:rsidR="00940F3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全文电子化率达</w:t>
      </w:r>
      <w:r w:rsidR="00940F3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100%</w:t>
      </w:r>
      <w:r w:rsidR="00940F3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，其中</w:t>
      </w:r>
      <w:r w:rsidR="00940F3C" w:rsidRPr="00940F3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机构职能类信息</w:t>
      </w:r>
      <w:r w:rsidR="00940F3C" w:rsidRPr="00940F3C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14</w:t>
      </w:r>
      <w:r w:rsidR="00940F3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条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占比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7.9%</w:t>
      </w:r>
      <w:r w:rsidR="00940F3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；</w:t>
      </w:r>
      <w:r w:rsidR="00940F3C" w:rsidRPr="00940F3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政策、规范性文件类信息</w:t>
      </w:r>
      <w:r w:rsidR="00940F3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1</w:t>
      </w:r>
      <w:r w:rsidR="00940F3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条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占比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0.5%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；</w:t>
      </w:r>
      <w:r w:rsidR="00304307" w:rsidRP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为民办实事类信息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1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条占比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0.5%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；</w:t>
      </w:r>
      <w:r w:rsidR="00304307" w:rsidRP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民政扶贫救灾社会保障就业类信息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19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条占比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10.7%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；</w:t>
      </w:r>
      <w:r w:rsidR="00304307" w:rsidRP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国土资源城乡建设环保能源类信息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106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条占比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59.6%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；</w:t>
      </w:r>
      <w:r w:rsidR="00304307" w:rsidRP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科教文体卫生类信息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16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条占比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9.0%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，</w:t>
      </w:r>
      <w:r w:rsidR="00304307" w:rsidRP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安全生产、应急管理类信息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21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条占比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11.8%</w:t>
      </w:r>
      <w:r w:rsid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304307" w:rsidRDefault="00304307" w:rsidP="00304307">
      <w:pPr>
        <w:widowControl/>
        <w:ind w:firstLine="48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 w:rsidRP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二</w:t>
      </w:r>
      <w:r w:rsidRP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依申请公开</w:t>
      </w:r>
      <w:r w:rsidRP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信息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办理</w:t>
      </w:r>
      <w:r w:rsidRP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情况</w:t>
      </w:r>
    </w:p>
    <w:p w:rsidR="00304307" w:rsidRDefault="00304307" w:rsidP="00304307">
      <w:pPr>
        <w:widowControl/>
        <w:ind w:firstLine="48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lastRenderedPageBreak/>
        <w:t>2020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年新塘街道共收到依申请公开</w:t>
      </w:r>
      <w:r w:rsidR="005235FD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申请</w:t>
      </w:r>
      <w:r w:rsidR="005235FD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3</w:t>
      </w:r>
      <w:r w:rsidR="005235FD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条，</w:t>
      </w:r>
      <w:r w:rsidR="005235FD" w:rsidRPr="005235FD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同意公开答复数</w:t>
      </w:r>
      <w:r w:rsidR="005235FD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1</w:t>
      </w:r>
      <w:r w:rsidR="005235FD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条，</w:t>
      </w:r>
      <w:r w:rsidR="005235FD" w:rsidRPr="005235FD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同意部分公开答复数</w:t>
      </w:r>
      <w:r w:rsidR="005235FD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2</w:t>
      </w:r>
      <w:r w:rsidR="005235FD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条，</w:t>
      </w:r>
      <w:r w:rsidR="005235FD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2020</w:t>
      </w:r>
      <w:r w:rsidR="005235FD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年依申请公开信息已全部办结。</w:t>
      </w:r>
    </w:p>
    <w:p w:rsidR="005235FD" w:rsidRDefault="005235FD" w:rsidP="005235FD">
      <w:pPr>
        <w:widowControl/>
        <w:ind w:firstLine="48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 w:rsidRP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三</w:t>
      </w:r>
      <w:r w:rsidRP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信息公开平台规范建设</w:t>
      </w:r>
      <w:r w:rsidRP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情况</w:t>
      </w:r>
    </w:p>
    <w:p w:rsidR="005235FD" w:rsidRDefault="005235FD" w:rsidP="00304307">
      <w:pPr>
        <w:widowControl/>
        <w:ind w:firstLine="48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2020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年以来，我街道注重</w:t>
      </w:r>
      <w:r w:rsidRPr="005235FD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加强网络阵地建设，加强运营管理“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新塘芯起航</w:t>
      </w:r>
      <w:r w:rsidR="009A367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”</w:t>
      </w:r>
      <w:proofErr w:type="gramStart"/>
      <w:r w:rsidR="009A367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微信公众号</w:t>
      </w:r>
      <w:proofErr w:type="gramEnd"/>
      <w:r w:rsidR="009A367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，及时发布上级及本级文件精神，开展政策解读工作。同时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发动街道各部门科室开展工作和活动投稿，由各部门负责人对投稿内容进行把关、审核，确保信息发布及时有效。对群众关切的热点时事问题进行重点推送</w:t>
      </w:r>
      <w:r w:rsidRPr="005235FD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提高推送信息质量。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2020</w:t>
      </w:r>
      <w:r w:rsidRPr="005235FD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年通过“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新塘芯起航</w:t>
      </w:r>
      <w:r w:rsidRPr="005235FD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”微信公众号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推送信息共</w:t>
      </w:r>
      <w:r w:rsidR="00225A84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1387</w:t>
      </w:r>
      <w:r w:rsidRPr="005235FD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篇</w:t>
      </w:r>
    </w:p>
    <w:p w:rsidR="009A367E" w:rsidRDefault="009A367E" w:rsidP="009A367E">
      <w:pPr>
        <w:widowControl/>
        <w:ind w:firstLine="48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 w:rsidRP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四</w:t>
      </w:r>
      <w:r w:rsidRPr="00304307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政府信息</w:t>
      </w:r>
      <w:r w:rsid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公开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管理</w:t>
      </w:r>
    </w:p>
    <w:p w:rsidR="009A367E" w:rsidRPr="009A367E" w:rsidRDefault="009A367E" w:rsidP="009A367E">
      <w:pPr>
        <w:widowControl/>
        <w:ind w:firstLineChars="200" w:firstLine="64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我街道</w:t>
      </w:r>
      <w:r w:rsidRPr="009A367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及时完善信息公开管理工作，</w:t>
      </w:r>
      <w:r w:rsid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一是强化力量保障。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加强信息公开队伍建设，指定专人负责公开工作，注重</w:t>
      </w:r>
      <w:r w:rsid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信息公开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学习培训。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11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月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9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日</w:t>
      </w:r>
      <w:r w:rsid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上午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召开基层政务公开标准化规范化信息发布及分类工作推进会议，进一步促进</w:t>
      </w:r>
      <w:r w:rsid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信息公开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业务工作水平提升。二是强化信息公开审核把关。</w:t>
      </w:r>
      <w:r w:rsid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由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政府信息公开保密审查工作领导小组</w:t>
      </w:r>
      <w:r w:rsid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牵头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对政务公开材料</w:t>
      </w:r>
      <w:r w:rsid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进行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严格保密审查，要求</w:t>
      </w:r>
      <w:r w:rsid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机关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各部门</w:t>
      </w:r>
      <w:r w:rsid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科室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每月</w:t>
      </w:r>
      <w:r w:rsid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将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拟公开材料</w:t>
      </w:r>
      <w:r w:rsid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经部门负责人审核同意后送交党政办进行统一发布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，</w:t>
      </w:r>
      <w:r w:rsid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同时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必须依规填写《</w:t>
      </w:r>
      <w:r w:rsid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新塘街道办事处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信息公开保密审查表》，并经</w:t>
      </w:r>
      <w:r w:rsid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党工委秘书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lastRenderedPageBreak/>
        <w:t>审批同意后方可公开，严格做到“上网文件不涉密、涉密文件</w:t>
      </w:r>
      <w:proofErr w:type="gramStart"/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不</w:t>
      </w:r>
      <w:proofErr w:type="gramEnd"/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上网”，有效确保了</w:t>
      </w:r>
      <w:r w:rsid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信息</w:t>
      </w:r>
      <w:r w:rsidR="00442BDE" w:rsidRPr="00442BD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公开工作的质量、标准。</w:t>
      </w:r>
    </w:p>
    <w:p w:rsidR="001E0465" w:rsidRDefault="001E0465" w:rsidP="00304307">
      <w:pPr>
        <w:widowControl/>
        <w:rPr>
          <w:rFonts w:ascii="Times New Roman" w:eastAsia="方正黑体简体" w:hAnsi="Times New Roman" w:cs="Times New Roman"/>
          <w:bCs/>
          <w:color w:val="000000"/>
          <w:sz w:val="28"/>
          <w:szCs w:val="28"/>
        </w:rPr>
      </w:pPr>
    </w:p>
    <w:p w:rsidR="00032339" w:rsidRPr="001E0465" w:rsidRDefault="00B72CFF" w:rsidP="001E0465">
      <w:pPr>
        <w:widowControl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 w:rsidRPr="00732C8F">
        <w:rPr>
          <w:rFonts w:ascii="Times New Roman" w:eastAsia="方正黑体简体" w:hAnsi="Times New Roman" w:cs="Times New Roman"/>
          <w:bCs/>
          <w:color w:val="000000"/>
          <w:sz w:val="28"/>
          <w:szCs w:val="28"/>
        </w:rPr>
        <w:t>二、主动公开政府信息情况</w:t>
      </w:r>
    </w:p>
    <w:tbl>
      <w:tblPr>
        <w:tblStyle w:val="a8"/>
        <w:tblW w:w="0" w:type="auto"/>
        <w:jc w:val="center"/>
        <w:tblLook w:val="04A0"/>
      </w:tblPr>
      <w:tblGrid>
        <w:gridCol w:w="3085"/>
        <w:gridCol w:w="1559"/>
        <w:gridCol w:w="1747"/>
        <w:gridCol w:w="2131"/>
      </w:tblGrid>
      <w:tr w:rsidR="00032339" w:rsidRPr="00732C8F" w:rsidTr="004964EE">
        <w:trPr>
          <w:jc w:val="center"/>
        </w:trPr>
        <w:tc>
          <w:tcPr>
            <w:tcW w:w="8522" w:type="dxa"/>
            <w:gridSpan w:val="4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第二十条第（一）项</w:t>
            </w:r>
          </w:p>
        </w:tc>
      </w:tr>
      <w:tr w:rsidR="00032339" w:rsidRPr="00732C8F" w:rsidTr="004964EE">
        <w:trPr>
          <w:trHeight w:val="1594"/>
          <w:jc w:val="center"/>
        </w:trPr>
        <w:tc>
          <w:tcPr>
            <w:tcW w:w="3085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本年新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br/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制作数量</w:t>
            </w:r>
          </w:p>
        </w:tc>
        <w:tc>
          <w:tcPr>
            <w:tcW w:w="1747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本年新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br/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公开数量</w:t>
            </w:r>
          </w:p>
        </w:tc>
        <w:tc>
          <w:tcPr>
            <w:tcW w:w="2131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对外公开总数量</w:t>
            </w:r>
          </w:p>
        </w:tc>
      </w:tr>
      <w:tr w:rsidR="00032339" w:rsidRPr="00732C8F" w:rsidTr="004964EE">
        <w:trPr>
          <w:jc w:val="center"/>
        </w:trPr>
        <w:tc>
          <w:tcPr>
            <w:tcW w:w="3085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规章</w:t>
            </w:r>
          </w:p>
        </w:tc>
        <w:tc>
          <w:tcPr>
            <w:tcW w:w="1559" w:type="dxa"/>
            <w:vAlign w:val="center"/>
          </w:tcPr>
          <w:p w:rsidR="00032339" w:rsidRPr="00732C8F" w:rsidRDefault="00623834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7" w:type="dxa"/>
            <w:vAlign w:val="center"/>
          </w:tcPr>
          <w:p w:rsidR="00032339" w:rsidRPr="00732C8F" w:rsidRDefault="00623834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31" w:type="dxa"/>
            <w:vAlign w:val="center"/>
          </w:tcPr>
          <w:p w:rsidR="00032339" w:rsidRPr="00732C8F" w:rsidRDefault="00623834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32339" w:rsidRPr="00732C8F" w:rsidTr="004964EE">
        <w:trPr>
          <w:jc w:val="center"/>
        </w:trPr>
        <w:tc>
          <w:tcPr>
            <w:tcW w:w="3085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规范性文件</w:t>
            </w:r>
          </w:p>
        </w:tc>
        <w:tc>
          <w:tcPr>
            <w:tcW w:w="1559" w:type="dxa"/>
            <w:vAlign w:val="center"/>
          </w:tcPr>
          <w:p w:rsidR="00032339" w:rsidRPr="00732C8F" w:rsidRDefault="00623834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7" w:type="dxa"/>
            <w:vAlign w:val="center"/>
          </w:tcPr>
          <w:p w:rsidR="00032339" w:rsidRPr="00732C8F" w:rsidRDefault="00623834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1" w:type="dxa"/>
            <w:vAlign w:val="center"/>
          </w:tcPr>
          <w:p w:rsidR="00032339" w:rsidRPr="00732C8F" w:rsidRDefault="00623834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032339" w:rsidRPr="00732C8F" w:rsidTr="004964EE">
        <w:trPr>
          <w:jc w:val="center"/>
        </w:trPr>
        <w:tc>
          <w:tcPr>
            <w:tcW w:w="8522" w:type="dxa"/>
            <w:gridSpan w:val="4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第二十条第（五）项</w:t>
            </w:r>
          </w:p>
        </w:tc>
      </w:tr>
      <w:tr w:rsidR="00032339" w:rsidRPr="00732C8F" w:rsidTr="004964EE">
        <w:trPr>
          <w:jc w:val="center"/>
        </w:trPr>
        <w:tc>
          <w:tcPr>
            <w:tcW w:w="3085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ind w:firstLineChars="300" w:firstLine="840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上一年项目数量</w:t>
            </w:r>
          </w:p>
        </w:tc>
        <w:tc>
          <w:tcPr>
            <w:tcW w:w="1747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本年增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/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减</w:t>
            </w:r>
          </w:p>
        </w:tc>
        <w:tc>
          <w:tcPr>
            <w:tcW w:w="2131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处理决定数量</w:t>
            </w:r>
          </w:p>
        </w:tc>
      </w:tr>
      <w:tr w:rsidR="00032339" w:rsidRPr="00732C8F" w:rsidTr="004964EE">
        <w:trPr>
          <w:jc w:val="center"/>
        </w:trPr>
        <w:tc>
          <w:tcPr>
            <w:tcW w:w="3085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行政许可</w:t>
            </w:r>
          </w:p>
        </w:tc>
        <w:tc>
          <w:tcPr>
            <w:tcW w:w="1559" w:type="dxa"/>
            <w:vAlign w:val="center"/>
          </w:tcPr>
          <w:p w:rsidR="00032339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7" w:type="dxa"/>
            <w:vAlign w:val="center"/>
          </w:tcPr>
          <w:p w:rsidR="00032339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31" w:type="dxa"/>
            <w:vAlign w:val="center"/>
          </w:tcPr>
          <w:p w:rsidR="00032339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32339" w:rsidRPr="00732C8F" w:rsidTr="004964EE">
        <w:trPr>
          <w:jc w:val="center"/>
        </w:trPr>
        <w:tc>
          <w:tcPr>
            <w:tcW w:w="3085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其他对外管理服务事项</w:t>
            </w:r>
          </w:p>
        </w:tc>
        <w:tc>
          <w:tcPr>
            <w:tcW w:w="1559" w:type="dxa"/>
            <w:vAlign w:val="center"/>
          </w:tcPr>
          <w:p w:rsidR="00032339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7" w:type="dxa"/>
            <w:vAlign w:val="center"/>
          </w:tcPr>
          <w:p w:rsidR="00032339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31" w:type="dxa"/>
            <w:vAlign w:val="center"/>
          </w:tcPr>
          <w:p w:rsidR="00032339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32339" w:rsidRPr="00732C8F" w:rsidTr="004964EE">
        <w:tblPrEx>
          <w:jc w:val="left"/>
        </w:tblPrEx>
        <w:tc>
          <w:tcPr>
            <w:tcW w:w="8522" w:type="dxa"/>
            <w:gridSpan w:val="4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第二十条第（六）项</w:t>
            </w:r>
          </w:p>
        </w:tc>
      </w:tr>
      <w:tr w:rsidR="00032339" w:rsidRPr="00732C8F" w:rsidTr="004964EE">
        <w:tblPrEx>
          <w:jc w:val="left"/>
        </w:tblPrEx>
        <w:trPr>
          <w:trHeight w:val="788"/>
        </w:trPr>
        <w:tc>
          <w:tcPr>
            <w:tcW w:w="3085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ind w:firstLineChars="300" w:firstLine="840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上一年项目数量</w:t>
            </w:r>
          </w:p>
        </w:tc>
        <w:tc>
          <w:tcPr>
            <w:tcW w:w="1747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本年增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/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减</w:t>
            </w:r>
          </w:p>
        </w:tc>
        <w:tc>
          <w:tcPr>
            <w:tcW w:w="2131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处理决定数量</w:t>
            </w:r>
          </w:p>
        </w:tc>
      </w:tr>
      <w:tr w:rsidR="00032339" w:rsidRPr="00732C8F" w:rsidTr="004964EE">
        <w:tblPrEx>
          <w:jc w:val="left"/>
        </w:tblPrEx>
        <w:tc>
          <w:tcPr>
            <w:tcW w:w="3085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行政处罚</w:t>
            </w:r>
          </w:p>
        </w:tc>
        <w:tc>
          <w:tcPr>
            <w:tcW w:w="1559" w:type="dxa"/>
            <w:vAlign w:val="center"/>
          </w:tcPr>
          <w:p w:rsidR="00032339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7" w:type="dxa"/>
            <w:vAlign w:val="center"/>
          </w:tcPr>
          <w:p w:rsidR="00032339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31" w:type="dxa"/>
            <w:vAlign w:val="center"/>
          </w:tcPr>
          <w:p w:rsidR="00032339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32339" w:rsidRPr="00732C8F" w:rsidTr="004964EE">
        <w:tblPrEx>
          <w:jc w:val="left"/>
        </w:tblPrEx>
        <w:tc>
          <w:tcPr>
            <w:tcW w:w="3085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行政强制</w:t>
            </w:r>
          </w:p>
        </w:tc>
        <w:tc>
          <w:tcPr>
            <w:tcW w:w="1559" w:type="dxa"/>
            <w:vAlign w:val="center"/>
          </w:tcPr>
          <w:p w:rsidR="00032339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7" w:type="dxa"/>
            <w:vAlign w:val="center"/>
          </w:tcPr>
          <w:p w:rsidR="00032339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31" w:type="dxa"/>
            <w:vAlign w:val="center"/>
          </w:tcPr>
          <w:p w:rsidR="00032339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32339" w:rsidRPr="00732C8F" w:rsidTr="004964EE">
        <w:tblPrEx>
          <w:jc w:val="left"/>
        </w:tblPrEx>
        <w:tc>
          <w:tcPr>
            <w:tcW w:w="8522" w:type="dxa"/>
            <w:gridSpan w:val="4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第二十条第（八）项</w:t>
            </w:r>
          </w:p>
        </w:tc>
      </w:tr>
      <w:tr w:rsidR="00032339" w:rsidRPr="00732C8F" w:rsidTr="004964EE">
        <w:tblPrEx>
          <w:jc w:val="left"/>
        </w:tblPrEx>
        <w:tc>
          <w:tcPr>
            <w:tcW w:w="3085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上一年项目数量</w:t>
            </w:r>
          </w:p>
        </w:tc>
        <w:tc>
          <w:tcPr>
            <w:tcW w:w="3878" w:type="dxa"/>
            <w:gridSpan w:val="2"/>
            <w:vAlign w:val="center"/>
          </w:tcPr>
          <w:p w:rsidR="00032339" w:rsidRPr="00732C8F" w:rsidRDefault="00032339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本年增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/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减</w:t>
            </w:r>
          </w:p>
        </w:tc>
      </w:tr>
      <w:tr w:rsidR="00864641" w:rsidRPr="00732C8F" w:rsidTr="004964EE">
        <w:tblPrEx>
          <w:jc w:val="left"/>
        </w:tblPrEx>
        <w:tc>
          <w:tcPr>
            <w:tcW w:w="3085" w:type="dxa"/>
            <w:vAlign w:val="center"/>
          </w:tcPr>
          <w:p w:rsidR="00864641" w:rsidRPr="00732C8F" w:rsidRDefault="00864641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lastRenderedPageBreak/>
              <w:t>行政事业性收费</w:t>
            </w:r>
          </w:p>
        </w:tc>
        <w:tc>
          <w:tcPr>
            <w:tcW w:w="1559" w:type="dxa"/>
            <w:vAlign w:val="center"/>
          </w:tcPr>
          <w:p w:rsidR="00864641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3878" w:type="dxa"/>
            <w:gridSpan w:val="2"/>
            <w:vAlign w:val="center"/>
          </w:tcPr>
          <w:p w:rsidR="00864641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864641" w:rsidRPr="00732C8F" w:rsidTr="004964EE">
        <w:tblPrEx>
          <w:jc w:val="left"/>
        </w:tblPrEx>
        <w:tc>
          <w:tcPr>
            <w:tcW w:w="8522" w:type="dxa"/>
            <w:gridSpan w:val="4"/>
            <w:vAlign w:val="center"/>
          </w:tcPr>
          <w:p w:rsidR="00864641" w:rsidRPr="00732C8F" w:rsidRDefault="00864641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第二十条第（九）项</w:t>
            </w:r>
          </w:p>
        </w:tc>
      </w:tr>
      <w:tr w:rsidR="00864641" w:rsidRPr="00732C8F" w:rsidTr="004964EE">
        <w:tblPrEx>
          <w:jc w:val="left"/>
        </w:tblPrEx>
        <w:tc>
          <w:tcPr>
            <w:tcW w:w="3085" w:type="dxa"/>
            <w:vAlign w:val="center"/>
          </w:tcPr>
          <w:p w:rsidR="00864641" w:rsidRPr="00732C8F" w:rsidRDefault="00864641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1559" w:type="dxa"/>
            <w:vAlign w:val="center"/>
          </w:tcPr>
          <w:p w:rsidR="00864641" w:rsidRPr="00732C8F" w:rsidRDefault="00864641" w:rsidP="004964E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采购项目数量</w:t>
            </w:r>
          </w:p>
        </w:tc>
        <w:tc>
          <w:tcPr>
            <w:tcW w:w="3878" w:type="dxa"/>
            <w:gridSpan w:val="2"/>
            <w:vAlign w:val="center"/>
          </w:tcPr>
          <w:p w:rsidR="00864641" w:rsidRPr="00732C8F" w:rsidRDefault="00864641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采购总</w:t>
            </w:r>
            <w:proofErr w:type="gramEnd"/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金额</w:t>
            </w:r>
          </w:p>
        </w:tc>
      </w:tr>
      <w:tr w:rsidR="00864641" w:rsidRPr="00732C8F" w:rsidTr="004964EE">
        <w:tblPrEx>
          <w:jc w:val="left"/>
        </w:tblPrEx>
        <w:tc>
          <w:tcPr>
            <w:tcW w:w="3085" w:type="dxa"/>
            <w:vAlign w:val="center"/>
          </w:tcPr>
          <w:p w:rsidR="00864641" w:rsidRPr="00732C8F" w:rsidRDefault="00864641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政府集中采购</w:t>
            </w:r>
          </w:p>
        </w:tc>
        <w:tc>
          <w:tcPr>
            <w:tcW w:w="1559" w:type="dxa"/>
            <w:vAlign w:val="center"/>
          </w:tcPr>
          <w:p w:rsidR="00864641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878" w:type="dxa"/>
            <w:gridSpan w:val="2"/>
            <w:vAlign w:val="center"/>
          </w:tcPr>
          <w:p w:rsidR="00864641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25353A" w:rsidRPr="00732C8F" w:rsidRDefault="0025353A" w:rsidP="00A52C06">
      <w:pPr>
        <w:pStyle w:val="a5"/>
        <w:spacing w:before="0" w:beforeAutospacing="0" w:after="0" w:afterAutospacing="0" w:line="580" w:lineRule="exact"/>
        <w:jc w:val="both"/>
        <w:rPr>
          <w:rFonts w:ascii="Times New Roman" w:eastAsia="方正黑体简体" w:hAnsi="Times New Roman" w:cs="Times New Roman"/>
          <w:b/>
          <w:bCs/>
          <w:color w:val="000000"/>
          <w:sz w:val="28"/>
          <w:szCs w:val="28"/>
        </w:rPr>
      </w:pPr>
    </w:p>
    <w:p w:rsidR="00A52C06" w:rsidRPr="00732C8F" w:rsidRDefault="00A52C06" w:rsidP="0025353A">
      <w:pPr>
        <w:pStyle w:val="a5"/>
        <w:spacing w:before="0" w:beforeAutospacing="0" w:after="0" w:afterAutospacing="0" w:line="580" w:lineRule="exact"/>
        <w:jc w:val="both"/>
        <w:rPr>
          <w:rFonts w:ascii="Times New Roman" w:eastAsia="方正黑体简体" w:hAnsi="Times New Roman" w:cs="Times New Roman"/>
          <w:bCs/>
          <w:color w:val="000000"/>
          <w:sz w:val="28"/>
          <w:szCs w:val="28"/>
        </w:rPr>
      </w:pPr>
      <w:r w:rsidRPr="00732C8F">
        <w:rPr>
          <w:rFonts w:ascii="Times New Roman" w:eastAsia="方正黑体简体" w:hAnsi="Times New Roman" w:cs="Times New Roman"/>
          <w:bCs/>
          <w:color w:val="000000"/>
          <w:sz w:val="28"/>
          <w:szCs w:val="28"/>
        </w:rPr>
        <w:t>三、收到和处理政府信息公开申请情况</w:t>
      </w:r>
    </w:p>
    <w:tbl>
      <w:tblPr>
        <w:tblStyle w:val="a8"/>
        <w:tblW w:w="5000" w:type="pct"/>
        <w:jc w:val="center"/>
        <w:tblLook w:val="04A0"/>
      </w:tblPr>
      <w:tblGrid>
        <w:gridCol w:w="1124"/>
        <w:gridCol w:w="1129"/>
        <w:gridCol w:w="1895"/>
        <w:gridCol w:w="560"/>
        <w:gridCol w:w="632"/>
        <w:gridCol w:w="632"/>
        <w:gridCol w:w="779"/>
        <w:gridCol w:w="779"/>
        <w:gridCol w:w="496"/>
        <w:gridCol w:w="496"/>
      </w:tblGrid>
      <w:tr w:rsidR="00595D66" w:rsidRPr="00732C8F" w:rsidTr="004964EE">
        <w:trPr>
          <w:jc w:val="center"/>
        </w:trPr>
        <w:tc>
          <w:tcPr>
            <w:tcW w:w="2437" w:type="pct"/>
            <w:gridSpan w:val="3"/>
            <w:vMerge w:val="restart"/>
            <w:vAlign w:val="center"/>
          </w:tcPr>
          <w:p w:rsidR="00595D66" w:rsidRPr="00732C8F" w:rsidRDefault="00595D66" w:rsidP="004964E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（本列数据的勾</w:t>
            </w:r>
            <w:proofErr w:type="gramStart"/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稽</w:t>
            </w:r>
            <w:proofErr w:type="gramEnd"/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关系为：第一项加第二项之和，等于第三项加第四项之和）</w:t>
            </w:r>
          </w:p>
        </w:tc>
        <w:tc>
          <w:tcPr>
            <w:tcW w:w="2563" w:type="pct"/>
            <w:gridSpan w:val="7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申请人情况</w:t>
            </w:r>
          </w:p>
        </w:tc>
      </w:tr>
      <w:tr w:rsidR="00595D66" w:rsidRPr="00732C8F" w:rsidTr="004964EE">
        <w:trPr>
          <w:jc w:val="center"/>
        </w:trPr>
        <w:tc>
          <w:tcPr>
            <w:tcW w:w="2437" w:type="pct"/>
            <w:gridSpan w:val="3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0" w:type="pct"/>
            <w:vMerge w:val="restart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自然人</w:t>
            </w:r>
          </w:p>
        </w:tc>
        <w:tc>
          <w:tcPr>
            <w:tcW w:w="1946" w:type="pct"/>
            <w:gridSpan w:val="5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法人或其他组织</w:t>
            </w:r>
          </w:p>
        </w:tc>
        <w:tc>
          <w:tcPr>
            <w:tcW w:w="287" w:type="pct"/>
            <w:vMerge w:val="restart"/>
            <w:vAlign w:val="center"/>
          </w:tcPr>
          <w:p w:rsidR="00595D66" w:rsidRPr="00732C8F" w:rsidRDefault="00595D66" w:rsidP="004964EE">
            <w:pPr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总计</w:t>
            </w:r>
          </w:p>
        </w:tc>
      </w:tr>
      <w:tr w:rsidR="00595D66" w:rsidRPr="00732C8F" w:rsidTr="004964EE">
        <w:trPr>
          <w:trHeight w:val="1232"/>
          <w:jc w:val="center"/>
        </w:trPr>
        <w:tc>
          <w:tcPr>
            <w:tcW w:w="2437" w:type="pct"/>
            <w:gridSpan w:val="3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0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2" w:type="pct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商业企业</w:t>
            </w:r>
          </w:p>
        </w:tc>
        <w:tc>
          <w:tcPr>
            <w:tcW w:w="372" w:type="pct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科研机构</w:t>
            </w:r>
          </w:p>
        </w:tc>
        <w:tc>
          <w:tcPr>
            <w:tcW w:w="458" w:type="pct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社会公益组织</w:t>
            </w:r>
          </w:p>
        </w:tc>
        <w:tc>
          <w:tcPr>
            <w:tcW w:w="458" w:type="pct"/>
            <w:vAlign w:val="center"/>
          </w:tcPr>
          <w:p w:rsidR="00595D66" w:rsidRPr="00732C8F" w:rsidRDefault="00595D66" w:rsidP="004964E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287" w:type="pct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287" w:type="pct"/>
            <w:vMerge/>
            <w:vAlign w:val="center"/>
          </w:tcPr>
          <w:p w:rsidR="00595D66" w:rsidRPr="00732C8F" w:rsidRDefault="00595D66" w:rsidP="004964E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95D66" w:rsidRPr="00732C8F" w:rsidTr="004964EE">
        <w:trPr>
          <w:jc w:val="center"/>
        </w:trPr>
        <w:tc>
          <w:tcPr>
            <w:tcW w:w="2437" w:type="pct"/>
            <w:gridSpan w:val="3"/>
            <w:vAlign w:val="center"/>
          </w:tcPr>
          <w:p w:rsidR="00595D66" w:rsidRPr="00732C8F" w:rsidRDefault="00595D66" w:rsidP="004964E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330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595D66" w:rsidRPr="00732C8F" w:rsidTr="004964EE">
        <w:trPr>
          <w:jc w:val="center"/>
        </w:trPr>
        <w:tc>
          <w:tcPr>
            <w:tcW w:w="2437" w:type="pct"/>
            <w:gridSpan w:val="3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330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5D66" w:rsidRPr="00732C8F" w:rsidTr="004964EE">
        <w:trPr>
          <w:jc w:val="center"/>
        </w:trPr>
        <w:tc>
          <w:tcPr>
            <w:tcW w:w="661" w:type="pct"/>
            <w:vMerge w:val="restart"/>
            <w:vAlign w:val="center"/>
          </w:tcPr>
          <w:p w:rsidR="00595D66" w:rsidRPr="00732C8F" w:rsidRDefault="00595D66" w:rsidP="004964E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1777" w:type="pct"/>
            <w:gridSpan w:val="2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ind w:firstLineChars="200" w:firstLine="560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（一）予以公开</w:t>
            </w:r>
          </w:p>
        </w:tc>
        <w:tc>
          <w:tcPr>
            <w:tcW w:w="330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595D66" w:rsidRPr="00732C8F" w:rsidTr="004964EE">
        <w:trPr>
          <w:trHeight w:val="1205"/>
          <w:jc w:val="center"/>
        </w:trPr>
        <w:tc>
          <w:tcPr>
            <w:tcW w:w="661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7" w:type="pct"/>
            <w:gridSpan w:val="2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330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595D66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vMerge w:val="restart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（三）不予公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lastRenderedPageBreak/>
              <w:t>开</w:t>
            </w:r>
          </w:p>
        </w:tc>
        <w:tc>
          <w:tcPr>
            <w:tcW w:w="1113" w:type="pct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lastRenderedPageBreak/>
              <w:t>1.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属于国家秘密</w:t>
            </w:r>
          </w:p>
        </w:tc>
        <w:tc>
          <w:tcPr>
            <w:tcW w:w="330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5D66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3" w:type="pct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2.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其他法律行政法规禁止公开</w:t>
            </w:r>
          </w:p>
        </w:tc>
        <w:tc>
          <w:tcPr>
            <w:tcW w:w="330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5D66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3" w:type="pct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3.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危及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“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三安全</w:t>
            </w:r>
            <w:proofErr w:type="gramStart"/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一</w:t>
            </w:r>
            <w:proofErr w:type="gramEnd"/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稳定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30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5D66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3" w:type="pct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4.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保护第三方合法权益</w:t>
            </w:r>
          </w:p>
        </w:tc>
        <w:tc>
          <w:tcPr>
            <w:tcW w:w="330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5D66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3" w:type="pct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5.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属于三类内部事务信息</w:t>
            </w:r>
          </w:p>
        </w:tc>
        <w:tc>
          <w:tcPr>
            <w:tcW w:w="330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5D66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3" w:type="pct"/>
            <w:vAlign w:val="center"/>
          </w:tcPr>
          <w:p w:rsidR="00595D66" w:rsidRPr="00732C8F" w:rsidRDefault="00595D66" w:rsidP="004964E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6.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属于四类过程性信息</w:t>
            </w:r>
          </w:p>
        </w:tc>
        <w:tc>
          <w:tcPr>
            <w:tcW w:w="330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5D66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3" w:type="pct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7.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属于行政执法案卷</w:t>
            </w:r>
          </w:p>
        </w:tc>
        <w:tc>
          <w:tcPr>
            <w:tcW w:w="330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5D66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3" w:type="pct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8.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属于行政查询事项</w:t>
            </w:r>
          </w:p>
        </w:tc>
        <w:tc>
          <w:tcPr>
            <w:tcW w:w="330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5D66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vMerge w:val="restart"/>
            <w:vAlign w:val="center"/>
          </w:tcPr>
          <w:p w:rsidR="00595D66" w:rsidRPr="00732C8F" w:rsidRDefault="004964EE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（四）无法提供</w:t>
            </w:r>
          </w:p>
        </w:tc>
        <w:tc>
          <w:tcPr>
            <w:tcW w:w="1113" w:type="pct"/>
            <w:vAlign w:val="center"/>
          </w:tcPr>
          <w:p w:rsidR="00595D66" w:rsidRPr="00732C8F" w:rsidRDefault="00595D66" w:rsidP="004964E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1.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本机关不掌握相关政府信息</w:t>
            </w:r>
          </w:p>
        </w:tc>
        <w:tc>
          <w:tcPr>
            <w:tcW w:w="330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5D66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3" w:type="pct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2.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没有现成信息需要另行制作</w:t>
            </w:r>
          </w:p>
        </w:tc>
        <w:tc>
          <w:tcPr>
            <w:tcW w:w="330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5D66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vMerge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3" w:type="pct"/>
            <w:vAlign w:val="center"/>
          </w:tcPr>
          <w:p w:rsidR="00595D66" w:rsidRPr="00732C8F" w:rsidRDefault="00595D66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3.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补正后申请内容仍不明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lastRenderedPageBreak/>
              <w:t>确</w:t>
            </w:r>
          </w:p>
        </w:tc>
        <w:tc>
          <w:tcPr>
            <w:tcW w:w="330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595D66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4964EE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4964EE" w:rsidRPr="00732C8F" w:rsidRDefault="004964EE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vMerge w:val="restart"/>
            <w:vAlign w:val="center"/>
          </w:tcPr>
          <w:p w:rsidR="004964EE" w:rsidRPr="00732C8F" w:rsidRDefault="004964EE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（五）</w:t>
            </w:r>
            <w:proofErr w:type="gramStart"/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不予处理</w:t>
            </w:r>
            <w:proofErr w:type="gramEnd"/>
          </w:p>
        </w:tc>
        <w:tc>
          <w:tcPr>
            <w:tcW w:w="1113" w:type="pct"/>
            <w:vAlign w:val="center"/>
          </w:tcPr>
          <w:p w:rsidR="004964EE" w:rsidRPr="00732C8F" w:rsidRDefault="004964EE" w:rsidP="004964E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1.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信访举报投诉类申请</w:t>
            </w:r>
          </w:p>
        </w:tc>
        <w:tc>
          <w:tcPr>
            <w:tcW w:w="330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4964EE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4964EE" w:rsidRPr="00732C8F" w:rsidRDefault="004964EE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vMerge/>
            <w:vAlign w:val="center"/>
          </w:tcPr>
          <w:p w:rsidR="004964EE" w:rsidRPr="00732C8F" w:rsidRDefault="004964EE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3" w:type="pct"/>
            <w:vAlign w:val="center"/>
          </w:tcPr>
          <w:p w:rsidR="004964EE" w:rsidRPr="00732C8F" w:rsidRDefault="004964EE" w:rsidP="004964E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2.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重复申请</w:t>
            </w:r>
          </w:p>
        </w:tc>
        <w:tc>
          <w:tcPr>
            <w:tcW w:w="330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4964EE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4964EE" w:rsidRPr="00732C8F" w:rsidRDefault="004964EE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vMerge/>
            <w:vAlign w:val="center"/>
          </w:tcPr>
          <w:p w:rsidR="004964EE" w:rsidRPr="00732C8F" w:rsidRDefault="004964EE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3" w:type="pct"/>
            <w:vAlign w:val="center"/>
          </w:tcPr>
          <w:p w:rsidR="004964EE" w:rsidRPr="00732C8F" w:rsidRDefault="004964EE" w:rsidP="004964E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3.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要求提供公开出版物</w:t>
            </w:r>
          </w:p>
        </w:tc>
        <w:tc>
          <w:tcPr>
            <w:tcW w:w="330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4964EE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4964EE" w:rsidRPr="00732C8F" w:rsidRDefault="004964EE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vMerge/>
            <w:vAlign w:val="center"/>
          </w:tcPr>
          <w:p w:rsidR="004964EE" w:rsidRPr="00732C8F" w:rsidRDefault="004964EE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3" w:type="pct"/>
            <w:vAlign w:val="center"/>
          </w:tcPr>
          <w:p w:rsidR="004964EE" w:rsidRPr="00732C8F" w:rsidRDefault="004964EE" w:rsidP="004964E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4.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无正当理由大量反复申请</w:t>
            </w:r>
          </w:p>
        </w:tc>
        <w:tc>
          <w:tcPr>
            <w:tcW w:w="330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4964EE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4964EE" w:rsidRPr="00732C8F" w:rsidRDefault="004964EE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  <w:vMerge/>
            <w:vAlign w:val="center"/>
          </w:tcPr>
          <w:p w:rsidR="004964EE" w:rsidRPr="00732C8F" w:rsidRDefault="004964EE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3" w:type="pct"/>
            <w:vAlign w:val="center"/>
          </w:tcPr>
          <w:p w:rsidR="004964EE" w:rsidRPr="00732C8F" w:rsidRDefault="004964EE" w:rsidP="004964EE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5.</w:t>
            </w:r>
            <w:r w:rsidRPr="00732C8F"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  <w:t>要求行政机关确认或重新出具已获取信息</w:t>
            </w:r>
          </w:p>
        </w:tc>
        <w:tc>
          <w:tcPr>
            <w:tcW w:w="330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4964EE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4964EE" w:rsidRPr="00732C8F" w:rsidRDefault="004964EE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7" w:type="pct"/>
            <w:gridSpan w:val="2"/>
            <w:vAlign w:val="center"/>
          </w:tcPr>
          <w:p w:rsidR="004964EE" w:rsidRPr="00732C8F" w:rsidRDefault="004964EE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（六）其他处理</w:t>
            </w:r>
          </w:p>
        </w:tc>
        <w:tc>
          <w:tcPr>
            <w:tcW w:w="330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4964EE" w:rsidRPr="00732C8F" w:rsidTr="004964EE">
        <w:trPr>
          <w:jc w:val="center"/>
        </w:trPr>
        <w:tc>
          <w:tcPr>
            <w:tcW w:w="661" w:type="pct"/>
            <w:vMerge/>
            <w:vAlign w:val="center"/>
          </w:tcPr>
          <w:p w:rsidR="004964EE" w:rsidRPr="00732C8F" w:rsidRDefault="004964EE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7" w:type="pct"/>
            <w:gridSpan w:val="2"/>
            <w:vAlign w:val="center"/>
          </w:tcPr>
          <w:p w:rsidR="004964EE" w:rsidRPr="00732C8F" w:rsidRDefault="004964EE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（七）总计</w:t>
            </w:r>
          </w:p>
        </w:tc>
        <w:tc>
          <w:tcPr>
            <w:tcW w:w="330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2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3</w:t>
            </w:r>
          </w:p>
        </w:tc>
      </w:tr>
      <w:tr w:rsidR="004964EE" w:rsidRPr="00732C8F" w:rsidTr="004964EE">
        <w:trPr>
          <w:jc w:val="center"/>
        </w:trPr>
        <w:tc>
          <w:tcPr>
            <w:tcW w:w="2437" w:type="pct"/>
            <w:gridSpan w:val="3"/>
            <w:vAlign w:val="center"/>
          </w:tcPr>
          <w:p w:rsidR="004964EE" w:rsidRPr="00732C8F" w:rsidRDefault="004964EE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四、结转下年度继续办理</w:t>
            </w:r>
          </w:p>
        </w:tc>
        <w:tc>
          <w:tcPr>
            <w:tcW w:w="330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72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8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4964EE" w:rsidRPr="00732C8F" w:rsidRDefault="00A463AC" w:rsidP="004964EE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28"/>
                <w:szCs w:val="28"/>
              </w:rPr>
              <w:t>0</w:t>
            </w:r>
          </w:p>
        </w:tc>
      </w:tr>
    </w:tbl>
    <w:p w:rsidR="004964EE" w:rsidRPr="00732C8F" w:rsidRDefault="004964EE" w:rsidP="0025353A">
      <w:pPr>
        <w:pStyle w:val="a5"/>
        <w:spacing w:before="0" w:beforeAutospacing="0" w:after="0" w:afterAutospacing="0" w:line="580" w:lineRule="exact"/>
        <w:jc w:val="both"/>
        <w:rPr>
          <w:rFonts w:ascii="Times New Roman" w:eastAsia="方正仿宋简体" w:hAnsi="Times New Roman" w:cs="Times New Roman"/>
          <w:color w:val="000000"/>
          <w:sz w:val="28"/>
          <w:szCs w:val="28"/>
        </w:rPr>
      </w:pPr>
    </w:p>
    <w:p w:rsidR="00B72CFF" w:rsidRPr="00732C8F" w:rsidRDefault="00B72CFF" w:rsidP="00A52C06">
      <w:pPr>
        <w:pStyle w:val="a5"/>
        <w:spacing w:before="0" w:beforeAutospacing="0" w:after="0" w:afterAutospacing="0" w:line="580" w:lineRule="exact"/>
        <w:jc w:val="both"/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</w:pPr>
      <w:r w:rsidRPr="00732C8F"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  <w:t>四、政府信息公开行政复议、行政诉讼情况</w:t>
      </w:r>
    </w:p>
    <w:tbl>
      <w:tblPr>
        <w:tblStyle w:val="a8"/>
        <w:tblW w:w="0" w:type="auto"/>
        <w:tblLook w:val="04A0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 w:rsidR="00864641" w:rsidRPr="00732C8F" w:rsidTr="00B712B0">
        <w:tc>
          <w:tcPr>
            <w:tcW w:w="2840" w:type="dxa"/>
            <w:gridSpan w:val="5"/>
          </w:tcPr>
          <w:p w:rsidR="00864641" w:rsidRPr="00732C8F" w:rsidRDefault="00864641" w:rsidP="00864641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行政复议</w:t>
            </w:r>
          </w:p>
        </w:tc>
        <w:tc>
          <w:tcPr>
            <w:tcW w:w="5682" w:type="dxa"/>
            <w:gridSpan w:val="10"/>
          </w:tcPr>
          <w:p w:rsidR="00864641" w:rsidRPr="00732C8F" w:rsidRDefault="00864641" w:rsidP="00864641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  <w:t>行政诉讼</w:t>
            </w:r>
          </w:p>
        </w:tc>
      </w:tr>
      <w:tr w:rsidR="00864641" w:rsidRPr="00732C8F" w:rsidTr="00926899">
        <w:tc>
          <w:tcPr>
            <w:tcW w:w="568" w:type="dxa"/>
            <w:vMerge w:val="restart"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t>结果维</w:t>
            </w: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持</w:t>
            </w:r>
          </w:p>
        </w:tc>
        <w:tc>
          <w:tcPr>
            <w:tcW w:w="568" w:type="dxa"/>
            <w:vMerge w:val="restart"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结果纠</w:t>
            </w: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正</w:t>
            </w:r>
          </w:p>
        </w:tc>
        <w:tc>
          <w:tcPr>
            <w:tcW w:w="568" w:type="dxa"/>
            <w:vMerge w:val="restart"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其他结</w:t>
            </w: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果</w:t>
            </w:r>
          </w:p>
        </w:tc>
        <w:tc>
          <w:tcPr>
            <w:tcW w:w="568" w:type="dxa"/>
            <w:vMerge w:val="restart"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尚未审</w:t>
            </w: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结</w:t>
            </w:r>
          </w:p>
        </w:tc>
        <w:tc>
          <w:tcPr>
            <w:tcW w:w="568" w:type="dxa"/>
            <w:vMerge w:val="restart"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总计</w:t>
            </w:r>
          </w:p>
        </w:tc>
        <w:tc>
          <w:tcPr>
            <w:tcW w:w="2840" w:type="dxa"/>
            <w:gridSpan w:val="5"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t>未经复议直接起诉</w:t>
            </w:r>
          </w:p>
        </w:tc>
        <w:tc>
          <w:tcPr>
            <w:tcW w:w="2842" w:type="dxa"/>
            <w:gridSpan w:val="5"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t>复议后起诉</w:t>
            </w:r>
          </w:p>
        </w:tc>
      </w:tr>
      <w:tr w:rsidR="00864641" w:rsidRPr="00732C8F" w:rsidTr="00864641">
        <w:tc>
          <w:tcPr>
            <w:tcW w:w="568" w:type="dxa"/>
            <w:vMerge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vMerge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vMerge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vMerge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  <w:vMerge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" w:type="dxa"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t>结果</w:t>
            </w: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维持</w:t>
            </w:r>
          </w:p>
        </w:tc>
        <w:tc>
          <w:tcPr>
            <w:tcW w:w="568" w:type="dxa"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结果</w:t>
            </w: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纠正</w:t>
            </w:r>
          </w:p>
        </w:tc>
        <w:tc>
          <w:tcPr>
            <w:tcW w:w="568" w:type="dxa"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其他</w:t>
            </w: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结果</w:t>
            </w:r>
          </w:p>
        </w:tc>
        <w:tc>
          <w:tcPr>
            <w:tcW w:w="568" w:type="dxa"/>
          </w:tcPr>
          <w:p w:rsidR="00864641" w:rsidRPr="00732C8F" w:rsidRDefault="00864641" w:rsidP="001747B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尚未</w:t>
            </w: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审结</w:t>
            </w:r>
          </w:p>
        </w:tc>
        <w:tc>
          <w:tcPr>
            <w:tcW w:w="568" w:type="dxa"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总计</w:t>
            </w:r>
          </w:p>
        </w:tc>
        <w:tc>
          <w:tcPr>
            <w:tcW w:w="568" w:type="dxa"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t>结果</w:t>
            </w: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维持</w:t>
            </w:r>
          </w:p>
        </w:tc>
        <w:tc>
          <w:tcPr>
            <w:tcW w:w="568" w:type="dxa"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结果</w:t>
            </w: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纠正</w:t>
            </w:r>
          </w:p>
        </w:tc>
        <w:tc>
          <w:tcPr>
            <w:tcW w:w="568" w:type="dxa"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其他</w:t>
            </w: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结果</w:t>
            </w:r>
          </w:p>
        </w:tc>
        <w:tc>
          <w:tcPr>
            <w:tcW w:w="569" w:type="dxa"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尚未</w:t>
            </w: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审结</w:t>
            </w:r>
          </w:p>
        </w:tc>
        <w:tc>
          <w:tcPr>
            <w:tcW w:w="569" w:type="dxa"/>
          </w:tcPr>
          <w:p w:rsidR="00864641" w:rsidRPr="00732C8F" w:rsidRDefault="00864641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732C8F">
              <w:rPr>
                <w:rFonts w:ascii="Times New Roman" w:eastAsia="方正仿宋简体" w:hAnsi="Times New Roman" w:cs="Times New Roman"/>
                <w:color w:val="000000"/>
              </w:rPr>
              <w:lastRenderedPageBreak/>
              <w:t>总计</w:t>
            </w:r>
          </w:p>
        </w:tc>
      </w:tr>
      <w:tr w:rsidR="00864641" w:rsidRPr="00732C8F" w:rsidTr="00864641">
        <w:tc>
          <w:tcPr>
            <w:tcW w:w="568" w:type="dxa"/>
          </w:tcPr>
          <w:p w:rsidR="00864641" w:rsidRPr="00732C8F" w:rsidRDefault="00841724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568" w:type="dxa"/>
          </w:tcPr>
          <w:p w:rsidR="00864641" w:rsidRPr="00732C8F" w:rsidRDefault="00841724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 w:rsidR="00864641" w:rsidRPr="00732C8F" w:rsidRDefault="00841724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 w:rsidR="00864641" w:rsidRPr="00732C8F" w:rsidRDefault="00841724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 w:rsidR="00864641" w:rsidRPr="00732C8F" w:rsidRDefault="00841724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 w:rsidR="00864641" w:rsidRPr="00732C8F" w:rsidRDefault="00841724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 w:rsidR="00864641" w:rsidRPr="00732C8F" w:rsidRDefault="00841724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 w:rsidR="00864641" w:rsidRPr="00732C8F" w:rsidRDefault="00841724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 w:rsidR="00864641" w:rsidRPr="00732C8F" w:rsidRDefault="00841724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 w:rsidR="00864641" w:rsidRPr="00732C8F" w:rsidRDefault="00841724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 w:rsidR="00864641" w:rsidRPr="00732C8F" w:rsidRDefault="00841724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 w:rsidR="00864641" w:rsidRPr="00732C8F" w:rsidRDefault="00841724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568" w:type="dxa"/>
          </w:tcPr>
          <w:p w:rsidR="00864641" w:rsidRPr="00732C8F" w:rsidRDefault="00841724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569" w:type="dxa"/>
          </w:tcPr>
          <w:p w:rsidR="00864641" w:rsidRPr="00732C8F" w:rsidRDefault="00841724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569" w:type="dxa"/>
          </w:tcPr>
          <w:p w:rsidR="00864641" w:rsidRPr="00732C8F" w:rsidRDefault="00841724" w:rsidP="00A52C06">
            <w:pPr>
              <w:pStyle w:val="a5"/>
              <w:spacing w:before="0" w:beforeAutospacing="0" w:after="0" w:afterAutospacing="0" w:line="580" w:lineRule="exact"/>
              <w:jc w:val="both"/>
              <w:rPr>
                <w:rFonts w:ascii="Times New Roman" w:eastAsia="方正黑体简体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</w:tbl>
    <w:p w:rsidR="00864641" w:rsidRPr="00732C8F" w:rsidRDefault="00864641" w:rsidP="00595D66">
      <w:pPr>
        <w:pStyle w:val="a5"/>
        <w:spacing w:before="0" w:beforeAutospacing="0" w:after="0" w:afterAutospacing="0" w:line="580" w:lineRule="exact"/>
        <w:jc w:val="both"/>
        <w:rPr>
          <w:rFonts w:ascii="Times New Roman" w:eastAsia="方正黑体简体" w:hAnsi="Times New Roman" w:cs="Times New Roman"/>
          <w:b/>
          <w:bCs/>
          <w:color w:val="000000"/>
          <w:sz w:val="32"/>
          <w:szCs w:val="32"/>
        </w:rPr>
      </w:pPr>
    </w:p>
    <w:p w:rsidR="00B72CFF" w:rsidRPr="00732C8F" w:rsidRDefault="00B72CFF" w:rsidP="00A52C06">
      <w:pPr>
        <w:pStyle w:val="a5"/>
        <w:spacing w:before="0" w:beforeAutospacing="0" w:after="0" w:afterAutospacing="0" w:line="580" w:lineRule="exact"/>
        <w:jc w:val="both"/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</w:pPr>
      <w:r w:rsidRPr="00732C8F"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  <w:t>五、存在的主要问题及改进情况</w:t>
      </w:r>
    </w:p>
    <w:p w:rsidR="00056E48" w:rsidRDefault="00056E48" w:rsidP="00A52C06">
      <w:pPr>
        <w:widowControl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 w:rsidRPr="00732C8F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一</w:t>
      </w:r>
      <w:r w:rsidRPr="00732C8F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）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存在问题。一是在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2020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年晋江市政务公开标准化规范化建设工作推进中，机关科室部分工作人员，对信息公开工作不熟悉，不够重视。二是信息公开不够及时全面，相对政务</w:t>
      </w:r>
      <w:proofErr w:type="gramStart"/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微信公众号</w:t>
      </w:r>
      <w:proofErr w:type="gramEnd"/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每日推送信息</w:t>
      </w:r>
      <w:r w:rsidR="00104429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的</w:t>
      </w:r>
      <w:r w:rsidR="00A463A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及时性和</w:t>
      </w:r>
      <w:r w:rsidR="00104429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多样性，政务公开网站的更新</w:t>
      </w:r>
      <w:r w:rsidR="00A463AC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较难</w:t>
      </w:r>
      <w:r w:rsidR="00104429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满足群众获悉信息的需求。</w:t>
      </w:r>
    </w:p>
    <w:p w:rsidR="00B72CFF" w:rsidRPr="00732C8F" w:rsidRDefault="00B72CFF" w:rsidP="00A52C06">
      <w:pPr>
        <w:widowControl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 w:rsidRPr="00732C8F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（</w:t>
      </w:r>
      <w:r w:rsid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二</w:t>
      </w:r>
      <w:r w:rsidRPr="00732C8F"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>）</w:t>
      </w:r>
      <w:r w:rsid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改进情况。</w:t>
      </w:r>
      <w:r w:rsidR="00F5698E" w:rsidRP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一是</w:t>
      </w:r>
      <w:r w:rsid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加强机关科室工作人员信息公开相关知识培训</w:t>
      </w:r>
      <w:r w:rsidR="00F5698E" w:rsidRP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，定期开展信息公开相关工作学习，增强保密意识，做到依法、高效、准确、安全、全面公开信息。二是完善信息公开机制，进一步梳理细化</w:t>
      </w:r>
      <w:r w:rsid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机关各科室主动公开事项</w:t>
      </w:r>
      <w:r w:rsidR="00F5698E" w:rsidRP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，明确公开的责任单位，保障各</w:t>
      </w:r>
      <w:r w:rsid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科室的主动公开</w:t>
      </w:r>
      <w:r w:rsidR="00F5698E" w:rsidRP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信息及时、准确、规范地进行传递，确保信息及时公开。三是丰富完善公开内容，加大对</w:t>
      </w:r>
      <w:r w:rsid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安全生产</w:t>
      </w:r>
      <w:r w:rsidR="00F5698E" w:rsidRP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、行政</w:t>
      </w:r>
      <w:r w:rsid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执法</w:t>
      </w:r>
      <w:r w:rsidR="00F5698E" w:rsidRP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、</w:t>
      </w:r>
      <w:r w:rsid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民政民生及惠企惠民政策解读</w:t>
      </w:r>
      <w:r w:rsidR="00F5698E" w:rsidRP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等信息的公开力度，进一步拓宽</w:t>
      </w:r>
      <w:r w:rsid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信息公开</w:t>
      </w:r>
      <w:r w:rsidR="00F5698E" w:rsidRP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渠道，丰富公开形式，增强信息公开的广度和深度，保证群众知情权，提高公众知晓率</w:t>
      </w:r>
      <w:r w:rsidR="00F5698E"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，让公众能更容易接触到公开信息。</w:t>
      </w:r>
    </w:p>
    <w:p w:rsidR="00B72CFF" w:rsidRPr="00732C8F" w:rsidRDefault="00B72CFF" w:rsidP="00A52C06">
      <w:pPr>
        <w:pStyle w:val="a5"/>
        <w:spacing w:before="0" w:beforeAutospacing="0" w:after="0" w:afterAutospacing="0" w:line="580" w:lineRule="exact"/>
        <w:jc w:val="both"/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</w:pPr>
      <w:r w:rsidRPr="00732C8F"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  <w:t>六、其他需要报告的事项</w:t>
      </w:r>
    </w:p>
    <w:p w:rsidR="00B72CFF" w:rsidRPr="00732C8F" w:rsidRDefault="00056E48" w:rsidP="00A52C06">
      <w:pPr>
        <w:widowControl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2"/>
          <w:szCs w:val="32"/>
        </w:rPr>
        <w:t>无。</w:t>
      </w:r>
    </w:p>
    <w:p w:rsidR="00B72CFF" w:rsidRPr="00732C8F" w:rsidRDefault="00B72CFF" w:rsidP="00A52C06">
      <w:pPr>
        <w:widowControl/>
        <w:ind w:firstLine="480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</w:p>
    <w:sectPr w:rsidR="00B72CFF" w:rsidRPr="00732C8F" w:rsidSect="00FD2E2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709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C3C" w:rsidRDefault="00952C3C" w:rsidP="006064D8">
      <w:r>
        <w:separator/>
      </w:r>
    </w:p>
  </w:endnote>
  <w:endnote w:type="continuationSeparator" w:id="0">
    <w:p w:rsidR="00952C3C" w:rsidRDefault="00952C3C" w:rsidP="00606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E23" w:rsidRPr="007039E9" w:rsidRDefault="000F5A9A" w:rsidP="00FD2E23">
    <w:pPr>
      <w:pStyle w:val="a4"/>
      <w:ind w:right="600"/>
      <w:rPr>
        <w:rFonts w:ascii="宋体" w:hAnsi="宋体"/>
        <w:sz w:val="30"/>
        <w:szCs w:val="30"/>
      </w:rPr>
    </w:pPr>
    <w:r w:rsidRPr="007039E9">
      <w:rPr>
        <w:rFonts w:ascii="宋体" w:hAnsi="宋体"/>
        <w:sz w:val="30"/>
        <w:szCs w:val="30"/>
      </w:rPr>
      <w:fldChar w:fldCharType="begin"/>
    </w:r>
    <w:r w:rsidR="00FD2E23" w:rsidRPr="007039E9">
      <w:rPr>
        <w:rFonts w:ascii="宋体" w:hAnsi="宋体"/>
        <w:sz w:val="30"/>
        <w:szCs w:val="30"/>
      </w:rPr>
      <w:instrText xml:space="preserve"> PAGE   \* MERGEFORMAT </w:instrText>
    </w:r>
    <w:r w:rsidRPr="007039E9">
      <w:rPr>
        <w:rFonts w:ascii="宋体" w:hAnsi="宋体"/>
        <w:sz w:val="30"/>
        <w:szCs w:val="30"/>
      </w:rPr>
      <w:fldChar w:fldCharType="separate"/>
    </w:r>
    <w:r w:rsidR="00DE1487" w:rsidRPr="00DE1487">
      <w:rPr>
        <w:rFonts w:ascii="宋体" w:hAnsi="宋体"/>
        <w:noProof/>
        <w:sz w:val="30"/>
        <w:szCs w:val="30"/>
        <w:lang w:val="zh-CN"/>
      </w:rPr>
      <w:t>-</w:t>
    </w:r>
    <w:r w:rsidR="00DE1487">
      <w:rPr>
        <w:rFonts w:ascii="宋体" w:hAnsi="宋体"/>
        <w:noProof/>
        <w:sz w:val="30"/>
        <w:szCs w:val="30"/>
      </w:rPr>
      <w:t xml:space="preserve"> 8 -</w:t>
    </w:r>
    <w:r w:rsidRPr="007039E9">
      <w:rPr>
        <w:rFonts w:ascii="宋体" w:hAnsi="宋体"/>
        <w:sz w:val="30"/>
        <w:szCs w:val="30"/>
      </w:rPr>
      <w:fldChar w:fldCharType="end"/>
    </w:r>
  </w:p>
  <w:p w:rsidR="00D13639" w:rsidRPr="00D13639" w:rsidRDefault="00D13639" w:rsidP="00D13639">
    <w:pPr>
      <w:pStyle w:val="a4"/>
      <w:ind w:firstLineChars="100" w:firstLine="280"/>
      <w:rPr>
        <w:rFonts w:ascii="宋体" w:eastAsia="宋体" w:hAnsi="宋体"/>
        <w:sz w:val="28"/>
      </w:rPr>
    </w:pPr>
  </w:p>
  <w:p w:rsidR="00D13639" w:rsidRDefault="00D1363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E23" w:rsidRPr="007039E9" w:rsidRDefault="000F5A9A" w:rsidP="00FD2E23">
    <w:pPr>
      <w:pStyle w:val="a4"/>
      <w:ind w:firstLineChars="50" w:firstLine="150"/>
      <w:jc w:val="right"/>
      <w:rPr>
        <w:rFonts w:ascii="宋体" w:hAnsi="宋体"/>
        <w:sz w:val="30"/>
        <w:szCs w:val="30"/>
      </w:rPr>
    </w:pPr>
    <w:r w:rsidRPr="007039E9">
      <w:rPr>
        <w:rFonts w:ascii="宋体" w:hAnsi="宋体"/>
        <w:sz w:val="30"/>
        <w:szCs w:val="30"/>
      </w:rPr>
      <w:fldChar w:fldCharType="begin"/>
    </w:r>
    <w:r w:rsidR="00FD2E23" w:rsidRPr="007039E9">
      <w:rPr>
        <w:rFonts w:ascii="宋体" w:hAnsi="宋体"/>
        <w:sz w:val="30"/>
        <w:szCs w:val="30"/>
      </w:rPr>
      <w:instrText xml:space="preserve"> PAGE   \* MERGEFORMAT </w:instrText>
    </w:r>
    <w:r w:rsidRPr="007039E9">
      <w:rPr>
        <w:rFonts w:ascii="宋体" w:hAnsi="宋体"/>
        <w:sz w:val="30"/>
        <w:szCs w:val="30"/>
      </w:rPr>
      <w:fldChar w:fldCharType="separate"/>
    </w:r>
    <w:r w:rsidR="00DE1487" w:rsidRPr="00DE1487">
      <w:rPr>
        <w:rFonts w:ascii="宋体" w:hAnsi="宋体"/>
        <w:noProof/>
        <w:sz w:val="30"/>
        <w:szCs w:val="30"/>
        <w:lang w:val="zh-CN"/>
      </w:rPr>
      <w:t>-</w:t>
    </w:r>
    <w:r w:rsidR="00DE1487">
      <w:rPr>
        <w:rFonts w:ascii="宋体" w:hAnsi="宋体"/>
        <w:noProof/>
        <w:sz w:val="30"/>
        <w:szCs w:val="30"/>
      </w:rPr>
      <w:t xml:space="preserve"> 7 -</w:t>
    </w:r>
    <w:r w:rsidRPr="007039E9">
      <w:rPr>
        <w:rFonts w:ascii="宋体" w:hAnsi="宋体"/>
        <w:sz w:val="30"/>
        <w:szCs w:val="30"/>
      </w:rPr>
      <w:fldChar w:fldCharType="end"/>
    </w:r>
  </w:p>
  <w:p w:rsidR="006657B8" w:rsidRPr="00A62523" w:rsidRDefault="006657B8" w:rsidP="00924095">
    <w:pPr>
      <w:pStyle w:val="a4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C3C" w:rsidRDefault="00952C3C" w:rsidP="006064D8">
      <w:r>
        <w:separator/>
      </w:r>
    </w:p>
  </w:footnote>
  <w:footnote w:type="continuationSeparator" w:id="0">
    <w:p w:rsidR="00952C3C" w:rsidRDefault="00952C3C" w:rsidP="00606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BFB" w:rsidRDefault="00BA7BFB" w:rsidP="00BA7BF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BFB" w:rsidRDefault="00BA7BFB" w:rsidP="00BA7BF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173B7"/>
    <w:multiLevelType w:val="hybridMultilevel"/>
    <w:tmpl w:val="E03617D4"/>
    <w:lvl w:ilvl="0" w:tplc="FB5A691C">
      <w:start w:val="3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4C9822FD"/>
    <w:multiLevelType w:val="hybridMultilevel"/>
    <w:tmpl w:val="C8D648E4"/>
    <w:lvl w:ilvl="0" w:tplc="14D47A22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1E346DF"/>
    <w:multiLevelType w:val="hybridMultilevel"/>
    <w:tmpl w:val="B4883282"/>
    <w:lvl w:ilvl="0" w:tplc="6B9834FA">
      <w:numFmt w:val="bullet"/>
      <w:lvlText w:val="-"/>
      <w:lvlJc w:val="left"/>
      <w:pPr>
        <w:ind w:left="51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">
    <w:nsid w:val="59376CEC"/>
    <w:multiLevelType w:val="hybridMultilevel"/>
    <w:tmpl w:val="DB9A3190"/>
    <w:lvl w:ilvl="0" w:tplc="41863A6E">
      <w:start w:val="1"/>
      <w:numFmt w:val="decimal"/>
      <w:lvlText w:val="%1"/>
      <w:lvlJc w:val="left"/>
      <w:pPr>
        <w:ind w:left="420" w:hanging="4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D512E14"/>
    <w:multiLevelType w:val="hybridMultilevel"/>
    <w:tmpl w:val="BD7CB1C0"/>
    <w:lvl w:ilvl="0" w:tplc="D3980358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A2E2F71"/>
    <w:multiLevelType w:val="hybridMultilevel"/>
    <w:tmpl w:val="AF4A3C34"/>
    <w:lvl w:ilvl="0" w:tplc="D3980358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6C230F4"/>
    <w:multiLevelType w:val="hybridMultilevel"/>
    <w:tmpl w:val="7EAE46E8"/>
    <w:lvl w:ilvl="0" w:tplc="1F2EAA3E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4D8"/>
    <w:rsid w:val="000251E3"/>
    <w:rsid w:val="00032339"/>
    <w:rsid w:val="00056E48"/>
    <w:rsid w:val="000F5A9A"/>
    <w:rsid w:val="00104429"/>
    <w:rsid w:val="00170545"/>
    <w:rsid w:val="001941AB"/>
    <w:rsid w:val="001D7978"/>
    <w:rsid w:val="001E0465"/>
    <w:rsid w:val="00225A84"/>
    <w:rsid w:val="0025353A"/>
    <w:rsid w:val="002D64BF"/>
    <w:rsid w:val="00301FFC"/>
    <w:rsid w:val="00303FF9"/>
    <w:rsid w:val="00304307"/>
    <w:rsid w:val="00312C57"/>
    <w:rsid w:val="003B78FE"/>
    <w:rsid w:val="004073FA"/>
    <w:rsid w:val="00442BDE"/>
    <w:rsid w:val="00470CCC"/>
    <w:rsid w:val="004964EE"/>
    <w:rsid w:val="004E52E6"/>
    <w:rsid w:val="005217EC"/>
    <w:rsid w:val="005235FD"/>
    <w:rsid w:val="00595D66"/>
    <w:rsid w:val="005F6674"/>
    <w:rsid w:val="006064D8"/>
    <w:rsid w:val="00623834"/>
    <w:rsid w:val="006657B8"/>
    <w:rsid w:val="00732C8F"/>
    <w:rsid w:val="007516CB"/>
    <w:rsid w:val="007E610F"/>
    <w:rsid w:val="008101D5"/>
    <w:rsid w:val="00841724"/>
    <w:rsid w:val="00864641"/>
    <w:rsid w:val="008D7A88"/>
    <w:rsid w:val="0090015E"/>
    <w:rsid w:val="00924095"/>
    <w:rsid w:val="00940F3C"/>
    <w:rsid w:val="00952C3C"/>
    <w:rsid w:val="00977345"/>
    <w:rsid w:val="009A367E"/>
    <w:rsid w:val="00A463AC"/>
    <w:rsid w:val="00A52C06"/>
    <w:rsid w:val="00A605DD"/>
    <w:rsid w:val="00A62523"/>
    <w:rsid w:val="00A74E20"/>
    <w:rsid w:val="00B63FE4"/>
    <w:rsid w:val="00B72CFF"/>
    <w:rsid w:val="00BA7BFB"/>
    <w:rsid w:val="00C768E4"/>
    <w:rsid w:val="00CA0267"/>
    <w:rsid w:val="00CD6B21"/>
    <w:rsid w:val="00D13639"/>
    <w:rsid w:val="00D3116D"/>
    <w:rsid w:val="00D657AD"/>
    <w:rsid w:val="00D9492D"/>
    <w:rsid w:val="00DE1487"/>
    <w:rsid w:val="00E41DC9"/>
    <w:rsid w:val="00E849F9"/>
    <w:rsid w:val="00EE7C24"/>
    <w:rsid w:val="00F2735A"/>
    <w:rsid w:val="00F5698E"/>
    <w:rsid w:val="00F62B8B"/>
    <w:rsid w:val="00FD2E23"/>
    <w:rsid w:val="00FE18D0"/>
    <w:rsid w:val="00FE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6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64D8"/>
    <w:rPr>
      <w:sz w:val="18"/>
      <w:szCs w:val="18"/>
    </w:rPr>
  </w:style>
  <w:style w:type="paragraph" w:styleId="a4">
    <w:name w:val="footer"/>
    <w:basedOn w:val="a"/>
    <w:link w:val="Char0"/>
    <w:unhideWhenUsed/>
    <w:rsid w:val="00606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64D8"/>
    <w:rPr>
      <w:sz w:val="18"/>
      <w:szCs w:val="18"/>
    </w:rPr>
  </w:style>
  <w:style w:type="paragraph" w:styleId="a5">
    <w:name w:val="Normal (Web)"/>
    <w:basedOn w:val="a"/>
    <w:uiPriority w:val="99"/>
    <w:unhideWhenUsed/>
    <w:rsid w:val="006064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Subtitle"/>
    <w:basedOn w:val="a"/>
    <w:next w:val="a"/>
    <w:link w:val="Char1"/>
    <w:uiPriority w:val="11"/>
    <w:qFormat/>
    <w:rsid w:val="00F2735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uiPriority w:val="11"/>
    <w:rsid w:val="00F273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page number"/>
    <w:basedOn w:val="a0"/>
    <w:rsid w:val="00D13639"/>
  </w:style>
  <w:style w:type="table" w:styleId="a8">
    <w:name w:val="Table Grid"/>
    <w:basedOn w:val="a1"/>
    <w:uiPriority w:val="59"/>
    <w:rsid w:val="000323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732C8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732C8F"/>
  </w:style>
  <w:style w:type="character" w:styleId="aa">
    <w:name w:val="Hyperlink"/>
    <w:basedOn w:val="a0"/>
    <w:uiPriority w:val="99"/>
    <w:unhideWhenUsed/>
    <w:rsid w:val="00301F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3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20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4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15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73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23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125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398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072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57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tjdzwgk@126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E1660-266C-47BE-8CED-01091371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10</cp:revision>
  <cp:lastPrinted>2019-11-29T07:17:00Z</cp:lastPrinted>
  <dcterms:created xsi:type="dcterms:W3CDTF">2021-01-07T07:04:00Z</dcterms:created>
  <dcterms:modified xsi:type="dcterms:W3CDTF">2021-01-08T06:56:00Z</dcterms:modified>
</cp:coreProperties>
</file>