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晋江市农村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集体经营性建设用地使用权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抵押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贷款管理暂行规定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（征求意见稿）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default" w:eastAsia="方正小标宋_GBK"/>
          <w:sz w:val="44"/>
          <w:szCs w:val="44"/>
          <w:u w:val="none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960" w:firstLineChars="3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第一条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为规范农村集体经营性建设用地抵押贷款管理，根据自然资源部办公厅《深化农村集体经营性建设用地入市试点工作方案》《晋江市农村经营性建设用地入市试点实施方案》等相关文件精神，结合我市实际，制定本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 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规定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所称农村集体经营性建设用地使用权抵押是指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债务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人或者第三人在不转移农村集体经营性建设用地占有、保持土地所有权不变的情况下，将一定年限的农村集体经营性建设用地使用权作为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清偿债务的担保，债务人不履行到期债务，债权人有权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依法处置该集体土地使用权，并用所得的价款优先受偿。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 抵押物价值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可委托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有资质的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第三方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机构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评估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或由抵押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双方协商等，公平、公正、客观、合理确定。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第四条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以出让、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出租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、作价出资（入股）、转让方式入市的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农村集体经营性建设用地可以办理抵押贷款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具有下列情形之一不得抵押：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（一）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未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取得不动产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证书的；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（二）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被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依法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限制权利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（三）被依法纳入拆迁征地范围的；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申请人已列入失信被执行人名单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（五）其他不得办理抵押的情形。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五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农村集体经营性建设用地使用权抵押时，其地上建筑物及其他附着物随之抵押；农村集体经营性建设用地地上建筑物及其他附着物抵押时，其占用范围内的农村集体经营性建设用地使用权随之抵押。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第六条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出让、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出租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、作价出资（入股）合同约定允许抵押、转让的，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办理抵押时由抵押人书面通知本村（居）集体经济组织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出让、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出租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、作价出资（入股）合同未明确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可以抵押、转让的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，在申请办理抵押登记时，应当提供本村（居）集体经济组织表决同意抵押、转让的书面材料。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七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以出让、租赁、作价出资（入股）、转让方式取得的农村集体经营性建设用地使用权抵押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，抵押年限不得超过出让、租赁、作价出资（入股）、转让的剩余年限。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第八条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自然人、企业、银行业金融机构均可作为抵押权人，申请办理农村集体经营性建设用地使用权抵押。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九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 农村集体经营性建设用地使用权抵押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，抵押双方应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共同持以下材料向市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不动产登记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中心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申请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办理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抵押登记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抵押权自登记时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生效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（一）抵押登记申请书；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（二）贷款合同和抵押合同；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不动产登记证书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抵押人通知本村集体经济组织的书面证明材料或本村（居）集体经济组织表决同意抵押的书面材料；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五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）登记机构规定的其他资料。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十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对符合抵押登记条件的，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市不动产登记中心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应当及时将抵押合同约定的有关事项在登记簿加以记载，并向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抵押权人颁发不动产登记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第十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农村集体经营性建设用地使用权抵押期间，抵押合同发生变更的，抵押双方当事人应持有关文件到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市不动产登记中心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办理抵押变更登记。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第十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农村集体经营性建设用地使用权抵押合同解除或终止，抵押权人应出具解除或终止抵押合同的证明材料，抵押人可持相关证明材料申请办理抵押权注销登记。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十三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本办法中有关“村（居）集体经济组织表决”的程序及方式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按晋江市村（居）“四议两公开”议事决策机制执行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十四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规定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由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市金融局、中国人民银行晋江市支行、晋江银保监管组及市自然资源局负责解释。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十五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条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 各银行机构应自行制定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晋江市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农村集体经营性建设用地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贷款业务管理制度及操作细则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或依据其上级银行制定的相应实施细则积极开展试点工作。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 第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十六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 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规定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从印发之日起实施，有效期至20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月31日。</w:t>
      </w:r>
    </w:p>
    <w:p>
      <w:pPr>
        <w:rPr>
          <w:rFonts w:hint="eastAsia"/>
          <w:color w:val="333333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115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5454B4-3B14-4C32-97DE-9BAEA2F03FF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95B54D1-0FB8-42B4-A109-0283FD19730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A995A2A8-9C89-4676-B252-1BDB309FB4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C77922C-12DC-4786-BF8D-2CA38F214BA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74F05440-D3CF-4B6E-9674-622A415BC3E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Tg1MmNhOTE4MThiZjA0ODk2NjA5ZWQ1OTc0Y2MifQ=="/>
  </w:docVars>
  <w:rsids>
    <w:rsidRoot w:val="46A94BA5"/>
    <w:rsid w:val="145F04F1"/>
    <w:rsid w:val="22AD4D78"/>
    <w:rsid w:val="2D7F5F84"/>
    <w:rsid w:val="42D703B1"/>
    <w:rsid w:val="45800144"/>
    <w:rsid w:val="46A94BA5"/>
    <w:rsid w:val="4B314FA5"/>
    <w:rsid w:val="4D7D4C36"/>
    <w:rsid w:val="4F651131"/>
    <w:rsid w:val="618647B9"/>
    <w:rsid w:val="6287330D"/>
    <w:rsid w:val="6C7A3290"/>
    <w:rsid w:val="7E57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1332</Words>
  <Characters>1337</Characters>
  <Lines>0</Lines>
  <Paragraphs>0</Paragraphs>
  <TotalTime>19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2023-04-14T22:01:00Z</dcterms:created>
  <dc:creator>吕士群</dc:creator>
  <cp:lastModifiedBy>吕士群</cp:lastModifiedBy>
  <dcterms:modified xsi:type="dcterms:W3CDTF">2023-04-24T03:24:05Z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1DD33197635847CD815C92AF743BEA73_13</vt:lpwstr>
  </property>
</Properties>
</file>