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r>
        <w:rPr>
          <w:rFonts w:hint="eastAsia" w:ascii="方正小标宋简体" w:hAnsi="方正小标宋简体" w:eastAsia="方正小标宋简体" w:cs="方正小标宋简体"/>
          <w:b w:val="0"/>
          <w:bCs w:val="0"/>
          <w:spacing w:val="0"/>
          <w:sz w:val="44"/>
          <w:szCs w:val="18"/>
        </w:rPr>
        <w:t>晋江市司法局</w:t>
      </w:r>
      <w:r>
        <w:rPr>
          <w:rFonts w:hint="eastAsia" w:ascii="方正小标宋简体" w:hAnsi="方正小标宋简体" w:eastAsia="方正小标宋简体" w:cs="方正小标宋简体"/>
          <w:b w:val="0"/>
          <w:bCs w:val="0"/>
          <w:spacing w:val="0"/>
          <w:sz w:val="44"/>
          <w:szCs w:val="18"/>
          <w:lang w:eastAsia="zh-CN"/>
        </w:rPr>
        <w:t>201</w:t>
      </w:r>
      <w:r>
        <w:rPr>
          <w:rFonts w:hint="eastAsia" w:ascii="方正小标宋简体" w:hAnsi="方正小标宋简体" w:eastAsia="方正小标宋简体" w:cs="方正小标宋简体"/>
          <w:b w:val="0"/>
          <w:bCs w:val="0"/>
          <w:spacing w:val="0"/>
          <w:sz w:val="44"/>
          <w:szCs w:val="18"/>
          <w:lang w:val="en-US" w:eastAsia="zh-CN"/>
        </w:rPr>
        <w:t>9</w:t>
      </w:r>
      <w:r>
        <w:rPr>
          <w:rFonts w:hint="eastAsia" w:ascii="方正小标宋简体" w:hAnsi="方正小标宋简体" w:eastAsia="方正小标宋简体" w:cs="方正小标宋简体"/>
          <w:b w:val="0"/>
          <w:bCs w:val="0"/>
          <w:spacing w:val="0"/>
          <w:sz w:val="44"/>
          <w:szCs w:val="18"/>
        </w:rPr>
        <w:t>年政府信息公开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18"/>
        </w:rPr>
      </w:pPr>
      <w:r>
        <w:rPr>
          <w:rFonts w:hint="eastAsia" w:ascii="方正小标宋简体" w:hAnsi="方正小标宋简体" w:eastAsia="方正小标宋简体" w:cs="方正小标宋简体"/>
          <w:b w:val="0"/>
          <w:bCs w:val="0"/>
          <w:spacing w:val="0"/>
          <w:sz w:val="44"/>
          <w:szCs w:val="18"/>
        </w:rPr>
        <w:t>工作年度报告</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黑体" w:hAnsi="Times New Roman" w:eastAsia="黑体"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本报告系</w:t>
      </w:r>
      <w:r>
        <w:rPr>
          <w:rFonts w:hint="eastAsia" w:ascii="仿宋_GB2312" w:eastAsia="仿宋_GB2312"/>
          <w:sz w:val="32"/>
          <w:szCs w:val="32"/>
        </w:rPr>
        <w:t>根据《中华人民共和国政府信息公开条例》</w:t>
      </w:r>
      <w:r>
        <w:rPr>
          <w:rFonts w:hint="eastAsia" w:ascii="仿宋_GB2312" w:eastAsia="仿宋_GB2312"/>
          <w:sz w:val="32"/>
          <w:szCs w:val="32"/>
          <w:lang w:eastAsia="zh-CN"/>
        </w:rPr>
        <w:t>（以下简称《条例》）、《福建省政府信息公开办法》的规定和要求</w:t>
      </w:r>
      <w:r>
        <w:rPr>
          <w:rFonts w:hint="eastAsia" w:ascii="仿宋_GB2312" w:eastAsia="仿宋_GB2312"/>
          <w:sz w:val="32"/>
          <w:szCs w:val="32"/>
        </w:rPr>
        <w:t>，</w:t>
      </w:r>
      <w:r>
        <w:rPr>
          <w:rFonts w:hint="eastAsia" w:ascii="仿宋_GB2312" w:eastAsia="仿宋_GB2312"/>
          <w:sz w:val="32"/>
          <w:szCs w:val="32"/>
          <w:lang w:eastAsia="zh-CN"/>
        </w:rPr>
        <w:t>汇总本局政府信息公开工作情况编制而成</w:t>
      </w:r>
      <w:r>
        <w:rPr>
          <w:rFonts w:hint="eastAsia" w:ascii="仿宋_GB2312" w:eastAsia="仿宋_GB2312"/>
          <w:sz w:val="32"/>
          <w:szCs w:val="32"/>
        </w:rPr>
        <w:t>。本报告由</w:t>
      </w:r>
      <w:r>
        <w:rPr>
          <w:rFonts w:hint="eastAsia" w:ascii="仿宋_GB2312" w:eastAsia="仿宋_GB2312"/>
          <w:sz w:val="32"/>
          <w:szCs w:val="32"/>
          <w:lang w:eastAsia="zh-CN"/>
        </w:rPr>
        <w:t>总体情况</w:t>
      </w:r>
      <w:r>
        <w:rPr>
          <w:rFonts w:hint="eastAsia" w:ascii="仿宋_GB2312" w:eastAsia="仿宋_GB2312"/>
          <w:sz w:val="32"/>
          <w:szCs w:val="32"/>
        </w:rPr>
        <w:t>，主动公开政府信息情况，收到和处理政府信息公开申请情况,政府信息公开行政复议、行政诉讼情况,存在的主要问题及改进情况,其他需要报告的事项共</w:t>
      </w:r>
      <w:r>
        <w:rPr>
          <w:rFonts w:hint="eastAsia" w:ascii="仿宋_GB2312" w:eastAsia="仿宋_GB2312"/>
          <w:sz w:val="32"/>
          <w:szCs w:val="32"/>
          <w:lang w:val="en-US" w:eastAsia="zh-CN"/>
        </w:rPr>
        <w:t>6</w:t>
      </w:r>
      <w:r>
        <w:rPr>
          <w:rFonts w:hint="eastAsia" w:ascii="仿宋_GB2312" w:eastAsia="仿宋_GB2312"/>
          <w:sz w:val="32"/>
          <w:szCs w:val="32"/>
        </w:rPr>
        <w:t>个部分组成。报告中所列数据的统计期限自</w:t>
      </w:r>
      <w:r>
        <w:rPr>
          <w:rFonts w:hint="eastAsia" w:ascii="仿宋_GB2312" w:eastAsia="仿宋_GB2312"/>
          <w:sz w:val="32"/>
          <w:szCs w:val="32"/>
          <w:lang w:eastAsia="zh-CN"/>
        </w:rPr>
        <w:t>20</w:t>
      </w:r>
      <w:r>
        <w:rPr>
          <w:rFonts w:hint="eastAsia" w:ascii="仿宋_GB2312" w:eastAsia="仿宋_GB2312"/>
          <w:sz w:val="32"/>
          <w:szCs w:val="32"/>
          <w:lang w:val="en-US" w:eastAsia="zh-CN"/>
        </w:rPr>
        <w:t>19</w:t>
      </w:r>
      <w:r>
        <w:rPr>
          <w:rFonts w:hint="eastAsia" w:ascii="仿宋_GB2312" w:eastAsia="仿宋_GB2312"/>
          <w:sz w:val="32"/>
          <w:szCs w:val="32"/>
        </w:rPr>
        <w:t>年1月1日起至</w:t>
      </w:r>
      <w:r>
        <w:rPr>
          <w:rFonts w:hint="eastAsia" w:ascii="仿宋_GB2312" w:eastAsia="仿宋_GB2312"/>
          <w:sz w:val="32"/>
          <w:szCs w:val="32"/>
          <w:lang w:eastAsia="zh-CN"/>
        </w:rPr>
        <w:t>201</w:t>
      </w:r>
      <w:r>
        <w:rPr>
          <w:rFonts w:hint="eastAsia" w:ascii="仿宋_GB2312" w:eastAsia="仿宋_GB2312"/>
          <w:sz w:val="32"/>
          <w:szCs w:val="32"/>
          <w:lang w:val="en-US" w:eastAsia="zh-CN"/>
        </w:rPr>
        <w:t>9</w:t>
      </w:r>
      <w:r>
        <w:rPr>
          <w:rFonts w:hint="eastAsia" w:ascii="仿宋_GB2312" w:eastAsia="仿宋_GB2312"/>
          <w:sz w:val="32"/>
          <w:szCs w:val="32"/>
        </w:rPr>
        <w:t>年12月31日止。本报告的电子版可在晋江市政府信息公开网站上下载。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若</w:t>
      </w:r>
      <w:r>
        <w:rPr>
          <w:rFonts w:hint="eastAsia" w:ascii="仿宋_GB2312" w:eastAsia="仿宋_GB2312"/>
          <w:sz w:val="32"/>
          <w:szCs w:val="32"/>
        </w:rPr>
        <w:t>有疑问</w:t>
      </w:r>
      <w:r>
        <w:rPr>
          <w:rFonts w:hint="eastAsia" w:ascii="仿宋_GB2312" w:eastAsia="仿宋_GB2312"/>
          <w:sz w:val="32"/>
          <w:szCs w:val="32"/>
          <w:lang w:eastAsia="zh-CN"/>
        </w:rPr>
        <w:t>或意见建议</w:t>
      </w:r>
      <w:r>
        <w:rPr>
          <w:rFonts w:hint="eastAsia" w:ascii="仿宋_GB2312" w:eastAsia="仿宋_GB2312"/>
          <w:sz w:val="32"/>
          <w:szCs w:val="32"/>
        </w:rPr>
        <w:t>，请联系：晋江市司法局政府信息公开领导小组办公室，</w:t>
      </w:r>
      <w:r>
        <w:rPr>
          <w:rFonts w:hint="eastAsia" w:ascii="仿宋_GB2312" w:eastAsia="仿宋_GB2312"/>
          <w:sz w:val="32"/>
          <w:szCs w:val="32"/>
          <w:lang w:eastAsia="zh-CN"/>
        </w:rPr>
        <w:t>地址：晋江市新华街</w:t>
      </w:r>
      <w:r>
        <w:rPr>
          <w:rFonts w:hint="eastAsia" w:ascii="仿宋_GB2312" w:eastAsia="仿宋_GB2312"/>
          <w:sz w:val="32"/>
          <w:szCs w:val="32"/>
          <w:lang w:val="en-US" w:eastAsia="zh-CN"/>
        </w:rPr>
        <w:t>302号（</w:t>
      </w:r>
      <w:r>
        <w:rPr>
          <w:rFonts w:hint="eastAsia" w:ascii="仿宋_GB2312" w:eastAsia="仿宋_GB2312"/>
          <w:sz w:val="32"/>
          <w:szCs w:val="32"/>
        </w:rPr>
        <w:t>邮编：362200</w:t>
      </w:r>
      <w:r>
        <w:rPr>
          <w:rFonts w:hint="eastAsia" w:ascii="仿宋_GB2312" w:eastAsia="仿宋_GB2312"/>
          <w:sz w:val="32"/>
          <w:szCs w:val="32"/>
          <w:lang w:eastAsia="zh-CN"/>
        </w:rPr>
        <w:t>）</w:t>
      </w:r>
      <w:r>
        <w:rPr>
          <w:rFonts w:hint="eastAsia" w:ascii="仿宋_GB2312" w:eastAsia="仿宋_GB2312"/>
          <w:sz w:val="32"/>
          <w:szCs w:val="32"/>
        </w:rPr>
        <w:t>，联系电话：0595-85681290，</w:t>
      </w:r>
      <w:r>
        <w:rPr>
          <w:rFonts w:hint="eastAsia" w:ascii="仿宋_GB2312" w:eastAsia="仿宋_GB2312"/>
          <w:sz w:val="32"/>
          <w:szCs w:val="32"/>
          <w:lang w:eastAsia="zh-CN"/>
        </w:rPr>
        <w:t>传真：</w:t>
      </w:r>
      <w:r>
        <w:rPr>
          <w:rFonts w:hint="eastAsia" w:ascii="仿宋_GB2312" w:eastAsia="仿宋_GB2312"/>
          <w:sz w:val="32"/>
          <w:szCs w:val="32"/>
          <w:lang w:val="en-US" w:eastAsia="zh-CN"/>
        </w:rPr>
        <w:t>0595-85662730，</w:t>
      </w:r>
      <w:r>
        <w:rPr>
          <w:rFonts w:hint="eastAsia" w:ascii="仿宋_GB2312" w:eastAsia="仿宋_GB2312"/>
          <w:sz w:val="32"/>
          <w:szCs w:val="32"/>
        </w:rPr>
        <w:t>电子邮箱：jjssfj302@163.com.</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黑体" w:hAnsi="Times New Roman" w:eastAsia="黑体" w:cs="Times New Roman"/>
          <w:bCs/>
          <w:color w:val="000000"/>
          <w:sz w:val="32"/>
          <w:szCs w:val="32"/>
        </w:rPr>
      </w:pPr>
      <w:r>
        <w:rPr>
          <w:rFonts w:hint="eastAsia" w:ascii="黑体" w:hAnsi="Times New Roman" w:eastAsia="黑体" w:cs="Times New Roman"/>
          <w:bCs/>
          <w:color w:val="000000"/>
          <w:sz w:val="32"/>
          <w:szCs w:val="32"/>
        </w:rPr>
        <w:t>一、总体情况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（一）加强政府信息公开组织领导</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切实加强对政府信息公开工作的组织领导</w:t>
      </w:r>
      <w:r>
        <w:rPr>
          <w:rFonts w:hint="eastAsia" w:ascii="仿宋_GB2312" w:eastAsia="仿宋_GB2312" w:cs="宋体"/>
          <w:color w:val="000000"/>
          <w:kern w:val="0"/>
          <w:sz w:val="32"/>
          <w:szCs w:val="32"/>
          <w:lang w:val="en-US" w:eastAsia="zh-CN"/>
        </w:rPr>
        <w:t>,</w:t>
      </w:r>
      <w:r>
        <w:rPr>
          <w:rFonts w:hint="eastAsia" w:ascii="仿宋_GB2312" w:eastAsia="仿宋_GB2312"/>
          <w:sz w:val="32"/>
          <w:szCs w:val="32"/>
          <w:lang w:eastAsia="zh-CN"/>
        </w:rPr>
        <w:t>定期召开专题会议研究部署，推动政务信息公开与司法行政工作紧密结合，确保同研究、同部署、同推进、同落实。认真按照政务公开工作指南和制度抓好政务信息公开工作，</w:t>
      </w:r>
      <w:r>
        <w:rPr>
          <w:rFonts w:hint="eastAsia" w:ascii="仿宋_GB2312" w:hAnsi="宋体" w:eastAsia="仿宋_GB2312" w:cs="宋体"/>
          <w:color w:val="000000"/>
          <w:kern w:val="0"/>
          <w:sz w:val="32"/>
          <w:szCs w:val="32"/>
        </w:rPr>
        <w:t>要求各业务部门按职责负责相关对口信息公开落实</w:t>
      </w:r>
      <w:r>
        <w:rPr>
          <w:rFonts w:hint="eastAsia" w:ascii="仿宋_GB2312"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及时更新业务信息版块，及时公开经批准的预算、决算情况，特别是做好“三公”经费决算信息公开。</w:t>
      </w:r>
    </w:p>
    <w:p>
      <w:pPr>
        <w:pStyle w:val="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健全完善政府信息公开各项制度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严格执行文件审核发布制度，</w:t>
      </w:r>
      <w:r>
        <w:rPr>
          <w:rFonts w:hint="eastAsia" w:ascii="仿宋_GB2312" w:eastAsia="仿宋_GB2312"/>
          <w:sz w:val="32"/>
          <w:szCs w:val="32"/>
          <w:lang w:eastAsia="zh-CN"/>
        </w:rPr>
        <w:t>对主动公开政府信息的发布内容、形式、程序、时限等环节进行规范，确保政府信息公开各项工作扎实有序推进。认真抓好司法行政政策解读，对社会关注度高、专业性强的重大政策规定，加强事前舆情评估，及时通过多种形式，开展针对性、科学性、权威性解读，增进公众对司法行政工作的熟悉和理解，回应社会关切，提高政策知晓度。</w:t>
      </w:r>
    </w:p>
    <w:p>
      <w:pPr>
        <w:pStyle w:val="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丰富政府信息公开渠道和内容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聚焦司法行政工作，充分发挥“法治晋江”微信公众平台优势，利用12348公共法律服务热线，推行“一个号码对外、一条热线统管”，为市民提供法律咨询、政务咨询、监督投诉等司法行政全要素服务。优化网上申报办理和在线审批服务流程，推动法律援助网上申请、办理公证网上预约等服务，加快实现政务服务事项办理由实体政务大厅向网上办事大厅的有效拓展延伸。</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Times New Roman" w:eastAsia="黑体" w:cs="Times New Roman"/>
          <w:bCs/>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黑体简体" w:cs="Times New Roman"/>
          <w:b/>
          <w:bCs/>
          <w:color w:val="000000"/>
          <w:sz w:val="28"/>
          <w:szCs w:val="28"/>
        </w:rPr>
      </w:pPr>
      <w:r>
        <w:rPr>
          <w:rFonts w:hint="eastAsia" w:ascii="黑体" w:hAnsi="Times New Roman" w:eastAsia="黑体" w:cs="Times New Roman"/>
          <w:bCs/>
          <w:color w:val="000000"/>
          <w:sz w:val="32"/>
          <w:szCs w:val="32"/>
        </w:rPr>
        <w:t>二、主动公开政府信息情况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1729"/>
        <w:gridCol w:w="1577"/>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信息内容</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本年新</w:t>
            </w:r>
            <w:r>
              <w:rPr>
                <w:rFonts w:ascii="Times New Roman" w:hAnsi="Times New Roman" w:eastAsia="Times New Roman" w:cs="Times New Roman"/>
                <w:color w:val="000000"/>
              </w:rPr>
              <w:br w:type="textWrapping"/>
            </w:r>
            <w:r>
              <w:rPr>
                <w:rFonts w:hint="eastAsia"/>
                <w:color w:val="000000"/>
              </w:rPr>
              <w:t>制作数量</w:t>
            </w:r>
          </w:p>
        </w:tc>
        <w:tc>
          <w:tcPr>
            <w:tcW w:w="157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本年新</w:t>
            </w:r>
            <w:r>
              <w:rPr>
                <w:rFonts w:ascii="Times New Roman" w:hAnsi="Times New Roman" w:eastAsia="Times New Roman" w:cs="Times New Roman"/>
                <w:color w:val="000000"/>
              </w:rPr>
              <w:br w:type="textWrapping"/>
            </w:r>
            <w:r>
              <w:rPr>
                <w:rFonts w:hint="eastAsia"/>
                <w:color w:val="000000"/>
              </w:rPr>
              <w:t>公开数量</w:t>
            </w:r>
          </w:p>
        </w:tc>
        <w:tc>
          <w:tcPr>
            <w:tcW w:w="2131"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规章</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157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2131"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规范性文件</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157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2131"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300"/>
              <w:jc w:val="center"/>
              <w:textAlignment w:val="auto"/>
              <w:rPr>
                <w:rFonts w:ascii="Times New Roman" w:hAnsi="Times New Roman" w:eastAsia="方正黑体简体" w:cs="Times New Roman"/>
                <w:b/>
                <w:bCs/>
                <w:color w:val="000000"/>
              </w:rPr>
            </w:pPr>
            <w:r>
              <w:rPr>
                <w:rFonts w:hint="eastAsia"/>
                <w:color w:val="000000"/>
              </w:rPr>
              <w:t>信息内容</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上一年项目数量</w:t>
            </w:r>
          </w:p>
        </w:tc>
        <w:tc>
          <w:tcPr>
            <w:tcW w:w="157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本年增</w:t>
            </w:r>
            <w:r>
              <w:rPr>
                <w:rFonts w:ascii="Times New Roman" w:hAnsi="Times New Roman" w:eastAsia="Times New Roman" w:cs="Times New Roman"/>
                <w:b w:val="0"/>
                <w:bCs w:val="0"/>
                <w:color w:val="000000"/>
              </w:rPr>
              <w:t>/</w:t>
            </w:r>
            <w:r>
              <w:rPr>
                <w:rFonts w:hint="eastAsia"/>
                <w:b w:val="0"/>
                <w:bCs w:val="0"/>
                <w:color w:val="000000"/>
              </w:rPr>
              <w:t>减</w:t>
            </w:r>
          </w:p>
        </w:tc>
        <w:tc>
          <w:tcPr>
            <w:tcW w:w="2131"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行政许可</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c>
          <w:tcPr>
            <w:tcW w:w="157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c>
          <w:tcPr>
            <w:tcW w:w="2131"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其他对外管理服务事项</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c>
          <w:tcPr>
            <w:tcW w:w="157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c>
          <w:tcPr>
            <w:tcW w:w="2131"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300"/>
              <w:jc w:val="center"/>
              <w:textAlignment w:val="auto"/>
              <w:rPr>
                <w:rFonts w:ascii="Times New Roman" w:hAnsi="Times New Roman" w:eastAsia="方正黑体简体" w:cs="Times New Roman"/>
                <w:b/>
                <w:bCs/>
                <w:color w:val="000000"/>
              </w:rPr>
            </w:pPr>
            <w:r>
              <w:rPr>
                <w:rFonts w:hint="eastAsia"/>
                <w:color w:val="000000"/>
              </w:rPr>
              <w:t>信息内容</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上一年项目数量</w:t>
            </w:r>
          </w:p>
        </w:tc>
        <w:tc>
          <w:tcPr>
            <w:tcW w:w="157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本年增</w:t>
            </w:r>
            <w:r>
              <w:rPr>
                <w:rFonts w:ascii="Times New Roman" w:hAnsi="Times New Roman" w:eastAsia="Times New Roman" w:cs="Times New Roman"/>
                <w:b w:val="0"/>
                <w:bCs w:val="0"/>
                <w:color w:val="000000"/>
              </w:rPr>
              <w:t>/</w:t>
            </w:r>
            <w:r>
              <w:rPr>
                <w:rFonts w:hint="eastAsia"/>
                <w:b w:val="0"/>
                <w:bCs w:val="0"/>
                <w:color w:val="000000"/>
              </w:rPr>
              <w:t>减</w:t>
            </w:r>
          </w:p>
        </w:tc>
        <w:tc>
          <w:tcPr>
            <w:tcW w:w="2131"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行政处罚</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c>
          <w:tcPr>
            <w:tcW w:w="157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c>
          <w:tcPr>
            <w:tcW w:w="2131"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行政强制</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c>
          <w:tcPr>
            <w:tcW w:w="157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c>
          <w:tcPr>
            <w:tcW w:w="2131"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ascii="Times New Roman" w:hAnsi="Times New Roman" w:eastAsia="方正黑体简体" w:cs="Times New Roman"/>
                <w:b w:val="0"/>
                <w:bCs w:val="0"/>
                <w:color w:val="00000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信息内容</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上一年项目数量</w:t>
            </w:r>
          </w:p>
        </w:tc>
        <w:tc>
          <w:tcPr>
            <w:tcW w:w="3708" w:type="dxa"/>
            <w:gridSpan w:val="2"/>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rPr>
            </w:pPr>
            <w:r>
              <w:rPr>
                <w:rFonts w:hint="eastAsia"/>
                <w:b w:val="0"/>
                <w:bCs w:val="0"/>
                <w:color w:val="000000"/>
              </w:rPr>
              <w:t>本年增</w:t>
            </w:r>
            <w:r>
              <w:rPr>
                <w:rFonts w:ascii="Times New Roman" w:hAnsi="Times New Roman" w:eastAsia="Times New Roman" w:cs="Times New Roman"/>
                <w:b w:val="0"/>
                <w:bCs w:val="0"/>
                <w:color w:val="000000"/>
              </w:rPr>
              <w:t>/</w:t>
            </w:r>
            <w:r>
              <w:rPr>
                <w:rFonts w:hint="eastAsia"/>
                <w:b w:val="0"/>
                <w:bCs w:val="0"/>
                <w:color w:val="000000"/>
              </w:rPr>
              <w:t>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行政事业性收费</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themeColor="text1"/>
                <w:lang w:val="en-US" w:eastAsia="zh-CN"/>
                <w14:textFill>
                  <w14:solidFill>
                    <w14:schemeClr w14:val="tx1"/>
                  </w14:solidFill>
                </w14:textFill>
              </w:rPr>
            </w:pPr>
            <w:r>
              <w:rPr>
                <w:rFonts w:hint="eastAsia" w:ascii="Times New Roman" w:hAnsi="Times New Roman" w:eastAsia="方正黑体简体" w:cs="Times New Roman"/>
                <w:b w:val="0"/>
                <w:bCs w:val="0"/>
                <w:color w:val="000000" w:themeColor="text1"/>
                <w:lang w:val="en-US" w:eastAsia="zh-CN"/>
                <w14:textFill>
                  <w14:solidFill>
                    <w14:schemeClr w14:val="tx1"/>
                  </w14:solidFill>
                </w14:textFill>
              </w:rPr>
              <w:t>1944552元</w:t>
            </w:r>
          </w:p>
        </w:tc>
        <w:tc>
          <w:tcPr>
            <w:tcW w:w="3708" w:type="dxa"/>
            <w:gridSpan w:val="2"/>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黑体简体" w:cs="Times New Roman"/>
                <w:b w:val="0"/>
                <w:bCs w:val="0"/>
                <w:color w:val="000000" w:themeColor="text1"/>
                <w:lang w:val="en-US" w:eastAsia="zh-CN"/>
                <w14:textFill>
                  <w14:solidFill>
                    <w14:schemeClr w14:val="tx1"/>
                  </w14:solidFill>
                </w14:textFill>
              </w:rPr>
            </w:pPr>
            <w:r>
              <w:rPr>
                <w:rFonts w:hint="eastAsia" w:ascii="Times New Roman" w:hAnsi="Times New Roman" w:eastAsia="方正黑体简体" w:cs="Times New Roman"/>
                <w:b w:val="0"/>
                <w:bCs w:val="0"/>
                <w:color w:val="000000" w:themeColor="text1"/>
                <w:lang w:val="en-US" w:eastAsia="zh-CN"/>
                <w14:textFill>
                  <w14:solidFill>
                    <w14:schemeClr w14:val="tx1"/>
                  </w14:solidFill>
                </w14:textFill>
              </w:rPr>
              <w:t>211167元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信息内容</w:t>
            </w:r>
          </w:p>
        </w:tc>
        <w:tc>
          <w:tcPr>
            <w:tcW w:w="1729"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b w:val="0"/>
                <w:bCs w:val="0"/>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14:textFill>
                  <w14:solidFill>
                    <w14:schemeClr w14:val="tx1"/>
                  </w14:solidFill>
                </w14:textFill>
              </w:rPr>
              <w:t>采购项目数量</w:t>
            </w:r>
          </w:p>
        </w:tc>
        <w:tc>
          <w:tcPr>
            <w:tcW w:w="3708" w:type="dxa"/>
            <w:gridSpan w:val="2"/>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政府集中采购</w:t>
            </w:r>
          </w:p>
        </w:tc>
        <w:tc>
          <w:tcPr>
            <w:tcW w:w="1729"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宋体" w:cs="Times New Roman"/>
                <w:b w:val="0"/>
                <w:bCs w:val="0"/>
                <w:color w:val="000000" w:themeColor="text1"/>
                <w:lang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4</w:t>
            </w:r>
          </w:p>
        </w:tc>
        <w:tc>
          <w:tcPr>
            <w:tcW w:w="3708" w:type="dxa"/>
            <w:gridSpan w:val="2"/>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黑体简体" w:cs="Times New Roman"/>
                <w:b w:val="0"/>
                <w:bCs w:val="0"/>
                <w:color w:val="000000" w:themeColor="text1"/>
                <w:lang w:val="en-US" w:eastAsia="zh-CN"/>
                <w14:textFill>
                  <w14:solidFill>
                    <w14:schemeClr w14:val="tx1"/>
                  </w14:solidFill>
                </w14:textFill>
              </w:rPr>
            </w:pPr>
            <w:r>
              <w:rPr>
                <w:rFonts w:hint="eastAsia" w:ascii="Times New Roman" w:hAnsi="Times New Roman" w:eastAsia="方正黑体简体" w:cs="Times New Roman"/>
                <w:b w:val="0"/>
                <w:bCs w:val="0"/>
                <w:color w:val="000000" w:themeColor="text1"/>
                <w:lang w:val="en-US" w:eastAsia="zh-CN"/>
                <w14:textFill>
                  <w14:solidFill>
                    <w14:schemeClr w14:val="tx1"/>
                  </w14:solidFill>
                </w14:textFill>
              </w:rPr>
              <w:t>2097074元</w:t>
            </w:r>
          </w:p>
        </w:tc>
      </w:tr>
    </w:tbl>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Times New Roman" w:eastAsia="黑体" w:cs="Times New Roman"/>
          <w:bCs/>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黑体" w:hAnsi="Times New Roman" w:eastAsia="黑体" w:cs="Times New Roman"/>
          <w:bCs/>
          <w:color w:val="000000"/>
          <w:sz w:val="32"/>
          <w:szCs w:val="32"/>
        </w:rPr>
      </w:pPr>
      <w:r>
        <w:rPr>
          <w:rFonts w:hint="eastAsia" w:ascii="黑体" w:hAnsi="Times New Roman" w:eastAsia="黑体" w:cs="Times New Roman"/>
          <w:bCs/>
          <w:color w:val="000000"/>
          <w:sz w:val="32"/>
          <w:szCs w:val="32"/>
        </w:rPr>
        <w:t>三、收到和处理政府信息公开申请情况</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6"/>
        <w:gridCol w:w="1203"/>
        <w:gridCol w:w="2017"/>
        <w:gridCol w:w="596"/>
        <w:gridCol w:w="674"/>
        <w:gridCol w:w="674"/>
        <w:gridCol w:w="830"/>
        <w:gridCol w:w="830"/>
        <w:gridCol w:w="521"/>
        <w:gridCol w:w="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437" w:type="pct"/>
            <w:gridSpan w:val="3"/>
            <w:vMerge w:val="restar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（本列数据的勾稽关系为：第一项加第二项之和，等于第三项加第四项之和）</w:t>
            </w:r>
          </w:p>
        </w:tc>
        <w:tc>
          <w:tcPr>
            <w:tcW w:w="2562" w:type="pct"/>
            <w:gridSpan w:val="7"/>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329" w:type="pct"/>
            <w:vMerge w:val="restar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自然人</w:t>
            </w:r>
          </w:p>
        </w:tc>
        <w:tc>
          <w:tcPr>
            <w:tcW w:w="1947" w:type="pct"/>
            <w:gridSpan w:val="5"/>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法人或其他组织</w:t>
            </w:r>
          </w:p>
        </w:tc>
        <w:tc>
          <w:tcPr>
            <w:tcW w:w="284" w:type="pct"/>
            <w:vMerge w:val="restart"/>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2437" w:type="pct"/>
            <w:gridSpan w:val="3"/>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329"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37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商业企业</w:t>
            </w:r>
          </w:p>
        </w:tc>
        <w:tc>
          <w:tcPr>
            <w:tcW w:w="37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科研机构</w:t>
            </w:r>
          </w:p>
        </w:tc>
        <w:tc>
          <w:tcPr>
            <w:tcW w:w="458"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社会公益组织</w:t>
            </w:r>
          </w:p>
        </w:tc>
        <w:tc>
          <w:tcPr>
            <w:tcW w:w="458"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法律服务机构</w:t>
            </w:r>
          </w:p>
        </w:tc>
        <w:tc>
          <w:tcPr>
            <w:tcW w:w="287"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其他</w:t>
            </w:r>
          </w:p>
        </w:tc>
        <w:tc>
          <w:tcPr>
            <w:tcW w:w="284" w:type="pct"/>
            <w:vMerge w:val="continue"/>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一、本年新收政府信息公开申请数量</w:t>
            </w:r>
          </w:p>
        </w:tc>
        <w:tc>
          <w:tcPr>
            <w:tcW w:w="329"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37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458"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7"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w:t>
            </w:r>
          </w:p>
        </w:tc>
        <w:tc>
          <w:tcPr>
            <w:tcW w:w="284"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color w:val="000000"/>
                <w:kern w:val="0"/>
                <w:sz w:val="24"/>
                <w:szCs w:val="24"/>
                <w:lang w:val="en-US" w:eastAsia="zh-CN"/>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二、上年结转政府信息公开申请数量</w:t>
            </w:r>
          </w:p>
        </w:tc>
        <w:tc>
          <w:tcPr>
            <w:tcW w:w="329"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37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37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458"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458"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287"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284"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restar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hint="eastAsia" w:ascii="宋体" w:hAnsi="宋体" w:cs="宋体"/>
                <w:color w:val="000000"/>
                <w:kern w:val="0"/>
                <w:sz w:val="24"/>
                <w:szCs w:val="24"/>
              </w:rPr>
              <w:t>三、本年度办理结果</w:t>
            </w:r>
          </w:p>
        </w:tc>
        <w:tc>
          <w:tcPr>
            <w:tcW w:w="1776" w:type="pct"/>
            <w:gridSpan w:val="2"/>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 w:firstLineChars="200"/>
              <w:jc w:val="center"/>
              <w:textAlignment w:val="auto"/>
              <w:rPr>
                <w:rFonts w:ascii="Times New Roman" w:hAnsi="Times New Roman" w:eastAsia="Times New Roman" w:cs="Times New Roman"/>
                <w:color w:val="000000"/>
              </w:rPr>
            </w:pPr>
            <w:r>
              <w:rPr>
                <w:rFonts w:hint="eastAsia"/>
                <w:color w:val="000000"/>
              </w:rPr>
              <w:t>（一）予以公开</w:t>
            </w:r>
          </w:p>
        </w:tc>
        <w:tc>
          <w:tcPr>
            <w:tcW w:w="329"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37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37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458"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458"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287"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284"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776" w:type="pct"/>
            <w:gridSpan w:val="2"/>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（二）部分公开（区分处理的，只计这一情形，不计其他情形）</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restar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（三）不予公开</w:t>
            </w:r>
          </w:p>
        </w:tc>
        <w:tc>
          <w:tcPr>
            <w:tcW w:w="111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1.</w:t>
            </w:r>
            <w:r>
              <w:rPr>
                <w:rFonts w:hint="eastAsia"/>
                <w:color w:val="000000"/>
              </w:rPr>
              <w:t>属于国家秘密</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hint="eastAsia"/>
                <w:color w:val="000000"/>
              </w:rPr>
              <w:t>其他法律行政法规禁止公开</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3.</w:t>
            </w:r>
            <w:r>
              <w:rPr>
                <w:rFonts w:hint="eastAsia"/>
                <w:color w:val="000000"/>
              </w:rPr>
              <w:t>危及</w:t>
            </w:r>
            <w:r>
              <w:rPr>
                <w:rFonts w:ascii="Times New Roman" w:hAnsi="Times New Roman" w:eastAsia="Times New Roman" w:cs="Times New Roman"/>
                <w:color w:val="000000"/>
              </w:rPr>
              <w:t>“</w:t>
            </w:r>
            <w:r>
              <w:rPr>
                <w:rFonts w:hint="eastAsia"/>
                <w:color w:val="000000"/>
              </w:rPr>
              <w:t>三安全一稳定</w:t>
            </w:r>
            <w:r>
              <w:rPr>
                <w:rFonts w:ascii="Times New Roman" w:hAnsi="Times New Roman" w:eastAsia="Times New Roman" w:cs="Times New Roman"/>
                <w:color w:val="000000"/>
              </w:rPr>
              <w:t>”</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4.</w:t>
            </w:r>
            <w:r>
              <w:rPr>
                <w:rFonts w:hint="eastAsia"/>
                <w:color w:val="000000"/>
              </w:rPr>
              <w:t>保护第三方合法权益</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5.</w:t>
            </w:r>
            <w:r>
              <w:rPr>
                <w:rFonts w:hint="eastAsia"/>
                <w:color w:val="000000"/>
              </w:rPr>
              <w:t>属于三类内部事务信息</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6.</w:t>
            </w:r>
            <w:r>
              <w:rPr>
                <w:rFonts w:hint="eastAsia" w:ascii="宋体" w:hAnsi="宋体" w:cs="宋体"/>
                <w:color w:val="000000"/>
                <w:kern w:val="0"/>
                <w:sz w:val="24"/>
                <w:szCs w:val="24"/>
              </w:rPr>
              <w:t>属于四类过程性信息</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7.</w:t>
            </w:r>
            <w:r>
              <w:rPr>
                <w:rFonts w:hint="eastAsia"/>
                <w:color w:val="000000"/>
              </w:rPr>
              <w:t>属于行政执法案卷</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8.</w:t>
            </w:r>
            <w:r>
              <w:rPr>
                <w:rFonts w:hint="eastAsia"/>
                <w:color w:val="000000"/>
              </w:rPr>
              <w:t>属于行政查询事项</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restar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（四）无法提供</w:t>
            </w:r>
          </w:p>
        </w:tc>
        <w:tc>
          <w:tcPr>
            <w:tcW w:w="1112"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1.</w:t>
            </w:r>
            <w:r>
              <w:rPr>
                <w:rFonts w:hint="eastAsia" w:ascii="宋体" w:hAnsi="宋体" w:cs="宋体"/>
                <w:color w:val="000000"/>
                <w:kern w:val="0"/>
                <w:sz w:val="24"/>
                <w:szCs w:val="24"/>
              </w:rPr>
              <w:t>本机关不掌握相关政府信息</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hint="eastAsia"/>
                <w:color w:val="000000"/>
              </w:rPr>
              <w:t>没有现成信息需要另行制作</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ascii="Times New Roman" w:hAnsi="Times New Roman" w:eastAsia="Times New Roman" w:cs="Times New Roman"/>
                <w:color w:val="000000"/>
              </w:rPr>
              <w:t>3.</w:t>
            </w:r>
            <w:r>
              <w:rPr>
                <w:rFonts w:hint="eastAsia"/>
                <w:color w:val="000000"/>
              </w:rPr>
              <w:t>补正后申请内容仍不明确</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restart"/>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（五）不予处理</w:t>
            </w:r>
          </w:p>
        </w:tc>
        <w:tc>
          <w:tcPr>
            <w:tcW w:w="1112"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1.</w:t>
            </w:r>
            <w:r>
              <w:rPr>
                <w:rFonts w:hint="eastAsia" w:ascii="宋体" w:hAnsi="宋体" w:cs="宋体"/>
                <w:color w:val="000000"/>
                <w:kern w:val="0"/>
                <w:sz w:val="24"/>
                <w:szCs w:val="24"/>
              </w:rPr>
              <w:t>信访举报投诉类申请</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2.</w:t>
            </w:r>
            <w:r>
              <w:rPr>
                <w:rFonts w:hint="eastAsia" w:ascii="宋体" w:hAnsi="宋体" w:cs="宋体"/>
                <w:color w:val="000000"/>
                <w:kern w:val="0"/>
                <w:sz w:val="24"/>
                <w:szCs w:val="24"/>
              </w:rPr>
              <w:t>重复申请</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3.</w:t>
            </w:r>
            <w:r>
              <w:rPr>
                <w:rFonts w:hint="eastAsia" w:ascii="宋体" w:hAnsi="宋体" w:cs="宋体"/>
                <w:color w:val="000000"/>
                <w:kern w:val="0"/>
                <w:sz w:val="24"/>
                <w:szCs w:val="24"/>
              </w:rPr>
              <w:t>要求提供公开出版物</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4.</w:t>
            </w:r>
            <w:r>
              <w:rPr>
                <w:rFonts w:hint="eastAsia" w:ascii="宋体" w:hAnsi="宋体" w:cs="宋体"/>
                <w:color w:val="000000"/>
                <w:kern w:val="0"/>
                <w:sz w:val="24"/>
                <w:szCs w:val="24"/>
              </w:rPr>
              <w:t>无正当理由大量反复申请</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664"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112" w:type="pct"/>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olor w:val="000000"/>
                <w:kern w:val="0"/>
                <w:sz w:val="24"/>
                <w:szCs w:val="24"/>
              </w:rPr>
            </w:pPr>
            <w:r>
              <w:rPr>
                <w:rFonts w:ascii="Times New Roman" w:hAnsi="Times New Roman" w:eastAsia="Times New Roman"/>
                <w:color w:val="000000"/>
                <w:kern w:val="0"/>
                <w:sz w:val="24"/>
                <w:szCs w:val="24"/>
              </w:rPr>
              <w:t>5.</w:t>
            </w:r>
            <w:r>
              <w:rPr>
                <w:rFonts w:hint="eastAsia" w:ascii="宋体" w:hAnsi="宋体" w:cs="宋体"/>
                <w:color w:val="000000"/>
                <w:kern w:val="0"/>
                <w:sz w:val="24"/>
                <w:szCs w:val="24"/>
              </w:rPr>
              <w:t>要求行政机关确认或重新出具已获取信息</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776" w:type="pct"/>
            <w:gridSpan w:val="2"/>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（六）其他处理</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 w:type="pct"/>
            <w:vMerge w:val="continue"/>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p>
        </w:tc>
        <w:tc>
          <w:tcPr>
            <w:tcW w:w="1776" w:type="pct"/>
            <w:gridSpan w:val="2"/>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（七）总计</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2437" w:type="pct"/>
            <w:gridSpan w:val="3"/>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color w:val="000000"/>
              </w:rPr>
              <w:t>四、结转下年度继续办理</w:t>
            </w:r>
          </w:p>
        </w:tc>
        <w:tc>
          <w:tcPr>
            <w:tcW w:w="593"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670"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825"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7" w:type="dxa"/>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Times New Roman" w:cs="Times New Roman"/>
                <w:color w:val="000000"/>
              </w:rPr>
            </w:pPr>
            <w:r>
              <w:rPr>
                <w:rFonts w:hint="eastAsia" w:ascii="Times New Roman" w:hAnsi="Times New Roman" w:cs="Times New Roman"/>
                <w:color w:val="000000"/>
                <w:lang w:val="en-US" w:eastAsia="zh-CN"/>
              </w:rPr>
              <w:t>0</w:t>
            </w:r>
          </w:p>
        </w:tc>
        <w:tc>
          <w:tcPr>
            <w:tcW w:w="515" w:type="dxa"/>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Times New Roman" w:cs="Times New Roman"/>
                <w:color w:val="000000"/>
              </w:rPr>
            </w:pPr>
            <w:r>
              <w:rPr>
                <w:rFonts w:hint="eastAsia" w:ascii="Times New Roman" w:hAnsi="Times New Roman"/>
                <w:color w:val="000000"/>
                <w:kern w:val="0"/>
                <w:sz w:val="24"/>
                <w:szCs w:val="24"/>
                <w:lang w:val="en-US" w:eastAsia="zh-CN"/>
              </w:rPr>
              <w:t>0</w:t>
            </w:r>
          </w:p>
        </w:tc>
      </w:tr>
    </w:tbl>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黑体" w:hAnsi="Times New Roman" w:eastAsia="黑体" w:cs="Times New Roman"/>
          <w:bCs/>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黑体" w:hAnsi="Times New Roman" w:eastAsia="黑体" w:cs="Times New Roman"/>
          <w:bCs/>
          <w:color w:val="000000"/>
          <w:sz w:val="32"/>
          <w:szCs w:val="32"/>
        </w:rPr>
      </w:pPr>
      <w:r>
        <w:rPr>
          <w:rFonts w:hint="eastAsia" w:ascii="黑体" w:hAnsi="Times New Roman" w:eastAsia="黑体" w:cs="Times New Roman"/>
          <w:bCs/>
          <w:color w:val="000000"/>
          <w:sz w:val="32"/>
          <w:szCs w:val="32"/>
        </w:rPr>
        <w:t>四、政府信息公开行政复议、行政诉讼情况</w:t>
      </w:r>
    </w:p>
    <w:tbl>
      <w:tblPr>
        <w:tblStyle w:val="8"/>
        <w:tblW w:w="90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3"/>
        <w:gridCol w:w="603"/>
        <w:gridCol w:w="603"/>
        <w:gridCol w:w="603"/>
        <w:gridCol w:w="603"/>
        <w:gridCol w:w="603"/>
        <w:gridCol w:w="603"/>
        <w:gridCol w:w="603"/>
        <w:gridCol w:w="603"/>
        <w:gridCol w:w="603"/>
        <w:gridCol w:w="603"/>
        <w:gridCol w:w="603"/>
        <w:gridCol w:w="603"/>
        <w:gridCol w:w="604"/>
        <w:gridCol w:w="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013" w:type="dxa"/>
            <w:gridSpan w:val="5"/>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行政复议</w:t>
            </w:r>
          </w:p>
        </w:tc>
        <w:tc>
          <w:tcPr>
            <w:tcW w:w="6029" w:type="dxa"/>
            <w:gridSpan w:val="10"/>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ascii="Times New Roman" w:hAnsi="Times New Roman" w:eastAsia="方正黑体简体" w:cs="Times New Roman"/>
                <w:b/>
                <w:bCs/>
                <w:color w:val="000000"/>
              </w:rPr>
            </w:pPr>
            <w:r>
              <w:rPr>
                <w:rFonts w:hint="eastAsia"/>
                <w:color w:val="000000"/>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603" w:type="dxa"/>
            <w:vMerge w:val="restart"/>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结果维持</w:t>
            </w:r>
          </w:p>
        </w:tc>
        <w:tc>
          <w:tcPr>
            <w:tcW w:w="603" w:type="dxa"/>
            <w:vMerge w:val="restart"/>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结果纠正</w:t>
            </w:r>
          </w:p>
        </w:tc>
        <w:tc>
          <w:tcPr>
            <w:tcW w:w="603" w:type="dxa"/>
            <w:vMerge w:val="restart"/>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其他结果</w:t>
            </w:r>
          </w:p>
        </w:tc>
        <w:tc>
          <w:tcPr>
            <w:tcW w:w="603" w:type="dxa"/>
            <w:vMerge w:val="restart"/>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尚未审结</w:t>
            </w:r>
          </w:p>
        </w:tc>
        <w:tc>
          <w:tcPr>
            <w:tcW w:w="603" w:type="dxa"/>
            <w:vMerge w:val="restart"/>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总计</w:t>
            </w:r>
          </w:p>
        </w:tc>
        <w:tc>
          <w:tcPr>
            <w:tcW w:w="3013" w:type="dxa"/>
            <w:gridSpan w:val="5"/>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未经复议直接起诉</w:t>
            </w:r>
          </w:p>
        </w:tc>
        <w:tc>
          <w:tcPr>
            <w:tcW w:w="3015" w:type="dxa"/>
            <w:gridSpan w:val="5"/>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603" w:type="dxa"/>
            <w:vMerge w:val="continue"/>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p>
        </w:tc>
        <w:tc>
          <w:tcPr>
            <w:tcW w:w="603" w:type="dxa"/>
            <w:vMerge w:val="continue"/>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p>
        </w:tc>
        <w:tc>
          <w:tcPr>
            <w:tcW w:w="603" w:type="dxa"/>
            <w:vMerge w:val="continue"/>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p>
        </w:tc>
        <w:tc>
          <w:tcPr>
            <w:tcW w:w="603" w:type="dxa"/>
            <w:vMerge w:val="continue"/>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p>
        </w:tc>
        <w:tc>
          <w:tcPr>
            <w:tcW w:w="603" w:type="dxa"/>
            <w:vMerge w:val="continue"/>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结果维持</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结果纠正</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其他结果</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尚未审结</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总计</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结果维持</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结果纠正</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其他结果</w:t>
            </w:r>
          </w:p>
        </w:tc>
        <w:tc>
          <w:tcPr>
            <w:tcW w:w="604"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尚未审结</w:t>
            </w:r>
          </w:p>
        </w:tc>
        <w:tc>
          <w:tcPr>
            <w:tcW w:w="604"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eastAsia="方正黑体简体" w:cs="Times New Roman"/>
                <w:b/>
                <w:bCs/>
                <w:color w:val="000000"/>
              </w:rPr>
            </w:pPr>
            <w:r>
              <w:rPr>
                <w:rFonts w:hint="eastAsia"/>
                <w:color w:val="00000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3"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4"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c>
          <w:tcPr>
            <w:tcW w:w="604" w:type="dxa"/>
          </w:tcPr>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黑体简体" w:cs="Times New Roman"/>
                <w:b w:val="0"/>
                <w:bCs w:val="0"/>
                <w:color w:val="000000"/>
                <w:lang w:val="en-US" w:eastAsia="zh-CN"/>
              </w:rPr>
            </w:pPr>
            <w:r>
              <w:rPr>
                <w:rFonts w:hint="eastAsia" w:ascii="Times New Roman" w:hAnsi="Times New Roman" w:eastAsia="方正黑体简体" w:cs="Times New Roman"/>
                <w:b w:val="0"/>
                <w:bCs w:val="0"/>
                <w:color w:val="000000"/>
                <w:lang w:val="en-US" w:eastAsia="zh-CN"/>
              </w:rPr>
              <w:t>0</w:t>
            </w:r>
          </w:p>
        </w:tc>
      </w:tr>
    </w:tbl>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黑体" w:hAnsi="Times New Roman" w:eastAsia="黑体" w:cs="Times New Roman"/>
          <w:bCs/>
          <w:color w:val="000000"/>
          <w:sz w:val="32"/>
          <w:szCs w:val="32"/>
        </w:rPr>
      </w:pPr>
      <w:r>
        <w:rPr>
          <w:rFonts w:hint="eastAsia" w:ascii="黑体" w:hAnsi="Times New Roman" w:eastAsia="黑体" w:cs="Times New Roman"/>
          <w:bCs/>
          <w:color w:val="000000"/>
          <w:sz w:val="32"/>
          <w:szCs w:val="32"/>
        </w:rPr>
        <w:t>五、存在的主要问题及改进情况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楷体" w:hAnsi="楷体" w:eastAsia="楷体" w:cs="楷体"/>
          <w:color w:val="000000"/>
          <w:kern w:val="0"/>
          <w:sz w:val="32"/>
          <w:szCs w:val="32"/>
        </w:rPr>
        <w:t>（一）主要问题</w:t>
      </w:r>
      <w:r>
        <w:rPr>
          <w:rFonts w:hint="eastAsia" w:ascii="仿宋_GB2312" w:hAnsi="宋体" w:eastAsia="仿宋_GB2312" w:cs="宋体"/>
          <w:color w:val="000000"/>
          <w:kern w:val="0"/>
          <w:sz w:val="32"/>
          <w:szCs w:val="32"/>
        </w:rPr>
        <w:t>：政府信息公开的内容</w:t>
      </w:r>
      <w:r>
        <w:rPr>
          <w:rFonts w:hint="eastAsia" w:ascii="仿宋_GB2312" w:eastAsia="仿宋_GB2312" w:cs="宋体"/>
          <w:color w:val="000000"/>
          <w:kern w:val="0"/>
          <w:sz w:val="32"/>
          <w:szCs w:val="32"/>
          <w:lang w:eastAsia="zh-CN"/>
        </w:rPr>
        <w:t>仍需</w:t>
      </w:r>
      <w:r>
        <w:rPr>
          <w:rFonts w:hint="eastAsia" w:ascii="仿宋_GB2312" w:hAnsi="宋体" w:eastAsia="仿宋_GB2312" w:cs="宋体"/>
          <w:color w:val="000000"/>
          <w:kern w:val="0"/>
          <w:sz w:val="32"/>
          <w:szCs w:val="32"/>
        </w:rPr>
        <w:t>进一步细化</w:t>
      </w:r>
      <w:r>
        <w:rPr>
          <w:rFonts w:hint="eastAsia" w:ascii="仿宋_GB2312" w:eastAsia="仿宋_GB2312" w:cs="宋体"/>
          <w:color w:val="000000"/>
          <w:kern w:val="0"/>
          <w:sz w:val="32"/>
          <w:szCs w:val="32"/>
          <w:lang w:eastAsia="zh-CN"/>
        </w:rPr>
        <w:t>加强</w:t>
      </w:r>
      <w:r>
        <w:rPr>
          <w:rFonts w:hint="eastAsia" w:ascii="仿宋_GB2312" w:hAnsi="宋体" w:eastAsia="仿宋_GB2312" w:cs="宋体"/>
          <w:color w:val="000000"/>
          <w:kern w:val="0"/>
          <w:sz w:val="32"/>
          <w:szCs w:val="32"/>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楷体" w:hAnsi="楷体" w:eastAsia="楷体" w:cs="楷体"/>
          <w:color w:val="000000"/>
          <w:kern w:val="0"/>
          <w:sz w:val="32"/>
          <w:szCs w:val="32"/>
        </w:rPr>
        <w:t>（二）改进措施</w:t>
      </w:r>
      <w:r>
        <w:rPr>
          <w:rFonts w:hint="eastAsia" w:ascii="仿宋_GB2312" w:hAnsi="宋体" w:eastAsia="仿宋_GB2312" w:cs="宋体"/>
          <w:color w:val="000000"/>
          <w:kern w:val="0"/>
          <w:sz w:val="32"/>
          <w:szCs w:val="32"/>
        </w:rPr>
        <w:t>：下阶段，</w:t>
      </w:r>
      <w:r>
        <w:rPr>
          <w:rFonts w:hint="eastAsia" w:ascii="仿宋_GB2312" w:eastAsia="仿宋_GB2312" w:cs="宋体"/>
          <w:color w:val="000000"/>
          <w:kern w:val="0"/>
          <w:sz w:val="32"/>
          <w:szCs w:val="32"/>
          <w:lang w:eastAsia="zh-CN"/>
        </w:rPr>
        <w:t>我局将</w:t>
      </w:r>
      <w:r>
        <w:rPr>
          <w:rFonts w:hint="eastAsia" w:ascii="仿宋_GB2312" w:hAnsi="宋体" w:eastAsia="仿宋_GB2312" w:cs="宋体"/>
          <w:color w:val="000000"/>
          <w:kern w:val="0"/>
          <w:sz w:val="32"/>
          <w:szCs w:val="32"/>
        </w:rPr>
        <w:t>进一步强化信息发布工作机制，加大主动公开力度，</w:t>
      </w:r>
      <w:r>
        <w:rPr>
          <w:rFonts w:hint="eastAsia" w:ascii="仿宋_GB2312" w:eastAsia="仿宋_GB2312" w:cs="宋体"/>
          <w:color w:val="000000"/>
          <w:kern w:val="0"/>
          <w:sz w:val="32"/>
          <w:szCs w:val="32"/>
          <w:lang w:eastAsia="zh-CN"/>
        </w:rPr>
        <w:t>加快</w:t>
      </w:r>
      <w:r>
        <w:rPr>
          <w:rFonts w:hint="eastAsia" w:ascii="仿宋_GB2312" w:hAnsi="宋体" w:eastAsia="仿宋_GB2312" w:cs="宋体"/>
          <w:color w:val="000000"/>
          <w:kern w:val="0"/>
          <w:sz w:val="32"/>
          <w:szCs w:val="32"/>
        </w:rPr>
        <w:t>建立健全多种公开渠道</w:t>
      </w:r>
      <w:r>
        <w:rPr>
          <w:rFonts w:hint="eastAsia" w:ascii="仿宋_GB2312" w:eastAsia="仿宋_GB2312" w:cs="宋体"/>
          <w:color w:val="000000"/>
          <w:kern w:val="0"/>
          <w:sz w:val="32"/>
          <w:szCs w:val="32"/>
          <w:lang w:eastAsia="zh-CN"/>
        </w:rPr>
        <w:t>，完善</w:t>
      </w:r>
      <w:r>
        <w:rPr>
          <w:rFonts w:hint="eastAsia" w:ascii="仿宋_GB2312" w:hAnsi="宋体" w:eastAsia="仿宋_GB2312" w:cs="宋体"/>
          <w:color w:val="000000"/>
          <w:kern w:val="0"/>
          <w:sz w:val="32"/>
          <w:szCs w:val="32"/>
        </w:rPr>
        <w:t>舆情收集和回应机制，加强分析研判，</w:t>
      </w:r>
      <w:r>
        <w:rPr>
          <w:rFonts w:hint="eastAsia" w:ascii="仿宋_GB2312" w:eastAsia="仿宋_GB2312" w:cs="宋体"/>
          <w:color w:val="000000"/>
          <w:kern w:val="0"/>
          <w:sz w:val="32"/>
          <w:szCs w:val="32"/>
          <w:lang w:eastAsia="zh-CN"/>
        </w:rPr>
        <w:t>确保</w:t>
      </w:r>
      <w:r>
        <w:rPr>
          <w:rFonts w:hint="eastAsia" w:ascii="仿宋_GB2312" w:hAnsi="宋体" w:eastAsia="仿宋_GB2312" w:cs="宋体"/>
          <w:color w:val="000000"/>
          <w:kern w:val="0"/>
          <w:sz w:val="32"/>
          <w:szCs w:val="32"/>
        </w:rPr>
        <w:t>及时回应</w:t>
      </w:r>
      <w:r>
        <w:rPr>
          <w:rFonts w:hint="eastAsia" w:ascii="仿宋_GB2312" w:eastAsia="仿宋_GB2312" w:cs="宋体"/>
          <w:color w:val="000000"/>
          <w:kern w:val="0"/>
          <w:sz w:val="32"/>
          <w:szCs w:val="32"/>
          <w:lang w:eastAsia="zh-CN"/>
        </w:rPr>
        <w:t>，</w:t>
      </w:r>
      <w:r>
        <w:rPr>
          <w:rFonts w:hint="eastAsia" w:ascii="仿宋_GB2312" w:hAnsi="宋体" w:eastAsia="仿宋_GB2312" w:cs="宋体"/>
          <w:color w:val="000000"/>
          <w:kern w:val="0"/>
          <w:sz w:val="32"/>
          <w:szCs w:val="32"/>
        </w:rPr>
        <w:t>切实提升</w:t>
      </w:r>
      <w:r>
        <w:rPr>
          <w:rFonts w:hint="eastAsia" w:ascii="仿宋_GB2312" w:eastAsia="仿宋_GB2312" w:cs="宋体"/>
          <w:color w:val="000000"/>
          <w:kern w:val="0"/>
          <w:sz w:val="32"/>
          <w:szCs w:val="32"/>
          <w:lang w:eastAsia="zh-CN"/>
        </w:rPr>
        <w:t>政务</w:t>
      </w:r>
      <w:r>
        <w:rPr>
          <w:rFonts w:hint="eastAsia" w:ascii="仿宋_GB2312" w:hAnsi="宋体" w:eastAsia="仿宋_GB2312" w:cs="宋体"/>
          <w:color w:val="000000"/>
          <w:kern w:val="0"/>
          <w:sz w:val="32"/>
          <w:szCs w:val="32"/>
        </w:rPr>
        <w:t>信息发布的质量和水平</w:t>
      </w:r>
      <w:r>
        <w:rPr>
          <w:rFonts w:hint="eastAsia" w:ascii="仿宋_GB2312" w:eastAsia="仿宋_GB2312" w:cs="宋体"/>
          <w:color w:val="000000"/>
          <w:kern w:val="0"/>
          <w:sz w:val="32"/>
          <w:szCs w:val="32"/>
          <w:lang w:eastAsia="zh-CN"/>
        </w:rPr>
        <w:t>。</w:t>
      </w:r>
    </w:p>
    <w:p>
      <w:pPr>
        <w:pStyle w:val="7"/>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Times New Roman" w:eastAsia="黑体" w:cs="Times New Roman"/>
          <w:bCs/>
          <w:color w:val="000000"/>
          <w:sz w:val="32"/>
          <w:szCs w:val="32"/>
        </w:rPr>
      </w:pPr>
      <w:r>
        <w:rPr>
          <w:rFonts w:hint="eastAsia" w:ascii="黑体" w:hAnsi="Times New Roman" w:eastAsia="黑体" w:cs="Times New Roman"/>
          <w:bCs/>
          <w:color w:val="000000"/>
          <w:sz w:val="32"/>
          <w:szCs w:val="32"/>
        </w:rPr>
        <w:t>其他需要报告的事项</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无</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宋体" w:eastAsia="仿宋_GB2312" w:cs="宋体"/>
          <w:color w:val="000000"/>
          <w:kern w:val="0"/>
          <w:sz w:val="32"/>
          <w:szCs w:val="32"/>
          <w:lang w:eastAsia="zh-CN"/>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宋体" w:eastAsia="仿宋_GB2312" w:cs="宋体"/>
          <w:color w:val="000000"/>
          <w:kern w:val="0"/>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leftChars="0" w:right="-210" w:rightChars="-100" w:firstLine="5760" w:firstLineChars="1800"/>
        <w:jc w:val="center"/>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rPr>
        <w:t>晋江市司法局</w:t>
      </w:r>
    </w:p>
    <w:p>
      <w:pPr>
        <w:keepNext w:val="0"/>
        <w:keepLines w:val="0"/>
        <w:pageBreakBefore w:val="0"/>
        <w:kinsoku/>
        <w:wordWrap/>
        <w:overflowPunct/>
        <w:topLinePunct w:val="0"/>
        <w:autoSpaceDE/>
        <w:autoSpaceDN/>
        <w:bidi w:val="0"/>
        <w:adjustRightInd/>
        <w:snapToGrid/>
        <w:spacing w:line="540" w:lineRule="exact"/>
        <w:ind w:left="0" w:leftChars="0" w:right="-210" w:rightChars="-100"/>
        <w:jc w:val="right"/>
        <w:textAlignment w:val="auto"/>
        <w:outlineLvl w:val="9"/>
        <w:rPr>
          <w:rFonts w:ascii="仿宋_GB2312" w:hAnsi="Times New Roman" w:eastAsia="仿宋_GB2312"/>
          <w:color w:val="000000"/>
          <w:kern w:val="0"/>
          <w:sz w:val="32"/>
          <w:szCs w:val="32"/>
        </w:rPr>
      </w:pPr>
      <w:r>
        <w:rPr>
          <w:rFonts w:hint="eastAsia" w:ascii="仿宋_GB2312" w:eastAsia="仿宋_GB2312"/>
          <w:sz w:val="32"/>
          <w:szCs w:val="32"/>
          <w:lang w:eastAsia="zh-CN"/>
        </w:rPr>
        <w:t>20</w:t>
      </w:r>
      <w:r>
        <w:rPr>
          <w:rFonts w:hint="eastAsia" w:ascii="仿宋_GB2312" w:eastAsia="仿宋_GB2312"/>
          <w:sz w:val="32"/>
          <w:szCs w:val="32"/>
          <w:lang w:val="en-US" w:eastAsia="zh-CN"/>
        </w:rPr>
        <w:t>20</w:t>
      </w:r>
      <w:r>
        <w:rPr>
          <w:rFonts w:hint="eastAsia" w:ascii="仿宋_GB2312" w:eastAsia="仿宋_GB2312"/>
          <w:sz w:val="32"/>
          <w:szCs w:val="32"/>
        </w:rPr>
        <w:t>年1月</w:t>
      </w:r>
      <w:r>
        <w:rPr>
          <w:rFonts w:hint="eastAsia" w:ascii="仿宋_GB2312" w:eastAsia="仿宋_GB2312"/>
          <w:sz w:val="32"/>
          <w:szCs w:val="32"/>
          <w:lang w:val="en-US" w:eastAsia="zh-CN"/>
        </w:rPr>
        <w:t>3</w:t>
      </w:r>
      <w:r>
        <w:rPr>
          <w:rFonts w:hint="eastAsia" w:ascii="仿宋_GB2312" w:eastAsia="仿宋_GB2312"/>
          <w:sz w:val="32"/>
          <w:szCs w:val="32"/>
        </w:rPr>
        <w:t>日</w:t>
      </w:r>
    </w:p>
    <w:sectPr>
      <w:headerReference r:id="rId3" w:type="default"/>
      <w:footerReference r:id="rId5" w:type="default"/>
      <w:headerReference r:id="rId4" w:type="even"/>
      <w:footerReference r:id="rId6" w:type="even"/>
      <w:pgSz w:w="11906" w:h="16838"/>
      <w:pgMar w:top="2041" w:right="1531" w:bottom="1531" w:left="1531" w:header="851" w:footer="709" w:gutter="0"/>
      <w:pgNumType w:fmt="numberInDash"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50" w:firstLineChars="50"/>
      <w:jc w:val="right"/>
      <w:rPr>
        <w:rFonts w:ascii="宋体"/>
        <w:sz w:val="30"/>
        <w:szCs w:val="30"/>
      </w:rPr>
    </w:pPr>
    <w:r>
      <w:rPr>
        <w:rFonts w:ascii="宋体" w:hAnsi="宋体"/>
        <w:sz w:val="30"/>
        <w:szCs w:val="30"/>
      </w:rPr>
      <w:fldChar w:fldCharType="begin"/>
    </w:r>
    <w:r>
      <w:rPr>
        <w:rFonts w:ascii="宋体" w:hAnsi="宋体"/>
        <w:sz w:val="30"/>
        <w:szCs w:val="30"/>
      </w:rPr>
      <w:instrText xml:space="preserve"> PAGE   \* MERGEFORMAT </w:instrText>
    </w:r>
    <w:r>
      <w:rPr>
        <w:rFonts w:ascii="宋体" w:hAnsi="宋体"/>
        <w:sz w:val="30"/>
        <w:szCs w:val="30"/>
      </w:rPr>
      <w:fldChar w:fldCharType="separate"/>
    </w:r>
    <w:r>
      <w:rPr>
        <w:rFonts w:ascii="宋体"/>
        <w:sz w:val="30"/>
        <w:szCs w:val="30"/>
        <w:lang w:val="zh-CN"/>
      </w:rPr>
      <w:t>-</w:t>
    </w:r>
    <w:r>
      <w:rPr>
        <w:rFonts w:ascii="宋体" w:hAnsi="宋体"/>
        <w:sz w:val="30"/>
        <w:szCs w:val="30"/>
      </w:rPr>
      <w:t xml:space="preserve"> 3 -</w:t>
    </w:r>
    <w:r>
      <w:rPr>
        <w:rFonts w:ascii="宋体" w:hAnsi="宋体"/>
        <w:sz w:val="30"/>
        <w:szCs w:val="30"/>
      </w:rPr>
      <w:fldChar w:fldCharType="end"/>
    </w:r>
  </w:p>
  <w:p>
    <w:pPr>
      <w:pStyle w:val="4"/>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600"/>
      <w:rPr>
        <w:rFonts w:ascii="宋体"/>
        <w:sz w:val="30"/>
        <w:szCs w:val="30"/>
      </w:rPr>
    </w:pPr>
    <w:r>
      <w:rPr>
        <w:rFonts w:ascii="宋体" w:hAnsi="宋体"/>
        <w:sz w:val="30"/>
        <w:szCs w:val="30"/>
      </w:rPr>
      <w:fldChar w:fldCharType="begin"/>
    </w:r>
    <w:r>
      <w:rPr>
        <w:rFonts w:ascii="宋体" w:hAnsi="宋体"/>
        <w:sz w:val="30"/>
        <w:szCs w:val="30"/>
      </w:rPr>
      <w:instrText xml:space="preserve"> PAGE   \* MERGEFORMAT </w:instrText>
    </w:r>
    <w:r>
      <w:rPr>
        <w:rFonts w:ascii="宋体" w:hAnsi="宋体"/>
        <w:sz w:val="30"/>
        <w:szCs w:val="30"/>
      </w:rPr>
      <w:fldChar w:fldCharType="separate"/>
    </w:r>
    <w:r>
      <w:rPr>
        <w:rFonts w:ascii="宋体"/>
        <w:sz w:val="30"/>
        <w:szCs w:val="30"/>
        <w:lang w:val="zh-CN"/>
      </w:rPr>
      <w:t>-</w:t>
    </w:r>
    <w:r>
      <w:rPr>
        <w:rFonts w:ascii="宋体" w:hAnsi="宋体"/>
        <w:sz w:val="30"/>
        <w:szCs w:val="30"/>
      </w:rPr>
      <w:t xml:space="preserve"> 2 -</w:t>
    </w:r>
    <w:r>
      <w:rPr>
        <w:rFonts w:ascii="宋体" w:hAnsi="宋体"/>
        <w:sz w:val="30"/>
        <w:szCs w:val="30"/>
      </w:rPr>
      <w:fldChar w:fldCharType="end"/>
    </w:r>
  </w:p>
  <w:p>
    <w:pPr>
      <w:pStyle w:val="4"/>
      <w:ind w:firstLine="280" w:firstLineChars="100"/>
      <w:rPr>
        <w:rFonts w:ascii="宋体"/>
        <w:sz w:val="28"/>
      </w:rP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4248A"/>
    <w:multiLevelType w:val="singleLevel"/>
    <w:tmpl w:val="C4F4248A"/>
    <w:lvl w:ilvl="0" w:tentative="0">
      <w:start w:val="2"/>
      <w:numFmt w:val="chineseCounting"/>
      <w:suff w:val="nothing"/>
      <w:lvlText w:val="（%1）"/>
      <w:lvlJc w:val="left"/>
      <w:rPr>
        <w:rFonts w:hint="eastAsia"/>
      </w:rPr>
    </w:lvl>
  </w:abstractNum>
  <w:abstractNum w:abstractNumId="1">
    <w:nsid w:val="E2C450B4"/>
    <w:multiLevelType w:val="singleLevel"/>
    <w:tmpl w:val="E2C450B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0"/>
  <w:evenAndOddHeaders w:val="1"/>
  <w:drawingGridHorizontalSpacing w:val="105"/>
  <w:drawingGridVerticalSpacing w:val="158"/>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D8"/>
    <w:rsid w:val="000251E3"/>
    <w:rsid w:val="00032339"/>
    <w:rsid w:val="001D7978"/>
    <w:rsid w:val="0023422F"/>
    <w:rsid w:val="0025353A"/>
    <w:rsid w:val="002C6C84"/>
    <w:rsid w:val="002D64BF"/>
    <w:rsid w:val="00303FF9"/>
    <w:rsid w:val="00312C57"/>
    <w:rsid w:val="0032469F"/>
    <w:rsid w:val="00470CCC"/>
    <w:rsid w:val="004964EE"/>
    <w:rsid w:val="004E52E6"/>
    <w:rsid w:val="00595D66"/>
    <w:rsid w:val="005C3E6D"/>
    <w:rsid w:val="005F6674"/>
    <w:rsid w:val="006064D8"/>
    <w:rsid w:val="006657B8"/>
    <w:rsid w:val="006B5F6B"/>
    <w:rsid w:val="00721CA2"/>
    <w:rsid w:val="00732C8F"/>
    <w:rsid w:val="007516CB"/>
    <w:rsid w:val="007E610F"/>
    <w:rsid w:val="00864641"/>
    <w:rsid w:val="008D7A88"/>
    <w:rsid w:val="00924095"/>
    <w:rsid w:val="00924DBF"/>
    <w:rsid w:val="009437E8"/>
    <w:rsid w:val="00977345"/>
    <w:rsid w:val="00A12FC7"/>
    <w:rsid w:val="00A51E8E"/>
    <w:rsid w:val="00A52C06"/>
    <w:rsid w:val="00A605DD"/>
    <w:rsid w:val="00A62523"/>
    <w:rsid w:val="00A74E20"/>
    <w:rsid w:val="00B63FE4"/>
    <w:rsid w:val="00B72CFF"/>
    <w:rsid w:val="00BA7BFB"/>
    <w:rsid w:val="00BE0E73"/>
    <w:rsid w:val="00C768E4"/>
    <w:rsid w:val="00CD6B21"/>
    <w:rsid w:val="00D13639"/>
    <w:rsid w:val="00D3116D"/>
    <w:rsid w:val="00D657AD"/>
    <w:rsid w:val="00D9492D"/>
    <w:rsid w:val="00E849F9"/>
    <w:rsid w:val="00F2735A"/>
    <w:rsid w:val="00F62B8B"/>
    <w:rsid w:val="00F83FB9"/>
    <w:rsid w:val="00F96ADB"/>
    <w:rsid w:val="00FD2E23"/>
    <w:rsid w:val="00FE18D0"/>
    <w:rsid w:val="00FE4EF5"/>
    <w:rsid w:val="0574595B"/>
    <w:rsid w:val="173D648B"/>
    <w:rsid w:val="175E17FF"/>
    <w:rsid w:val="195A27C0"/>
    <w:rsid w:val="1AF21C6C"/>
    <w:rsid w:val="1B501BEC"/>
    <w:rsid w:val="1F4A79C4"/>
    <w:rsid w:val="2F3C2062"/>
    <w:rsid w:val="2FFC7008"/>
    <w:rsid w:val="31030136"/>
    <w:rsid w:val="36DA4C97"/>
    <w:rsid w:val="388B53BD"/>
    <w:rsid w:val="3C2226E2"/>
    <w:rsid w:val="3E350CBF"/>
    <w:rsid w:val="468B1886"/>
    <w:rsid w:val="482B20A1"/>
    <w:rsid w:val="4D8948BC"/>
    <w:rsid w:val="4F501A0D"/>
    <w:rsid w:val="56F279EC"/>
    <w:rsid w:val="58C06046"/>
    <w:rsid w:val="6B30751C"/>
    <w:rsid w:val="710A2965"/>
    <w:rsid w:val="75BB0D6B"/>
    <w:rsid w:val="765D52D4"/>
    <w:rsid w:val="7BE85E5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link w:val="11"/>
    <w:semiHidden/>
    <w:qFormat/>
    <w:uiPriority w:val="99"/>
    <w:rPr>
      <w:rFonts w:eastAsia="黑体"/>
      <w:b/>
      <w:sz w:val="44"/>
      <w:szCs w:val="20"/>
    </w:rPr>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line="560" w:lineRule="exact"/>
      <w:ind w:left="-210" w:leftChars="-100" w:right="-210" w:rightChars="-100"/>
    </w:pPr>
    <w:rPr>
      <w:rFonts w:ascii="仿宋_GB2312" w:eastAsia="仿宋_GB2312"/>
      <w:color w:val="333333"/>
      <w:sz w:val="32"/>
      <w:szCs w:val="18"/>
    </w:rPr>
  </w:style>
  <w:style w:type="paragraph" w:styleId="3">
    <w:name w:val="Date"/>
    <w:basedOn w:val="1"/>
    <w:next w:val="1"/>
    <w:link w:val="13"/>
    <w:semiHidden/>
    <w:qFormat/>
    <w:uiPriority w:val="99"/>
    <w:pPr>
      <w:ind w:left="100" w:leftChars="25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 Char Char1"/>
    <w:basedOn w:val="1"/>
    <w:link w:val="10"/>
    <w:qFormat/>
    <w:uiPriority w:val="0"/>
    <w:pPr>
      <w:widowControl/>
      <w:spacing w:after="160" w:line="240" w:lineRule="exact"/>
      <w:jc w:val="left"/>
    </w:pPr>
    <w:rPr>
      <w:rFonts w:eastAsia="黑体"/>
      <w:b/>
      <w:sz w:val="44"/>
      <w:szCs w:val="20"/>
    </w:rPr>
  </w:style>
  <w:style w:type="character" w:styleId="12">
    <w:name w:val="page number"/>
    <w:basedOn w:val="10"/>
    <w:qFormat/>
    <w:uiPriority w:val="99"/>
    <w:rPr>
      <w:rFonts w:cs="Times New Roman"/>
    </w:rPr>
  </w:style>
  <w:style w:type="character" w:customStyle="1" w:styleId="13">
    <w:name w:val="Date Char"/>
    <w:basedOn w:val="10"/>
    <w:link w:val="3"/>
    <w:semiHidden/>
    <w:qFormat/>
    <w:locked/>
    <w:uiPriority w:val="99"/>
    <w:rPr>
      <w:rFonts w:cs="Times New Roman"/>
    </w:rPr>
  </w:style>
  <w:style w:type="character" w:customStyle="1" w:styleId="14">
    <w:name w:val="Footer Char"/>
    <w:basedOn w:val="10"/>
    <w:link w:val="4"/>
    <w:semiHidden/>
    <w:qFormat/>
    <w:locked/>
    <w:uiPriority w:val="99"/>
    <w:rPr>
      <w:rFonts w:cs="Times New Roman"/>
      <w:sz w:val="18"/>
      <w:szCs w:val="18"/>
    </w:rPr>
  </w:style>
  <w:style w:type="character" w:customStyle="1" w:styleId="15">
    <w:name w:val="Header Char"/>
    <w:basedOn w:val="10"/>
    <w:link w:val="5"/>
    <w:semiHidden/>
    <w:qFormat/>
    <w:locked/>
    <w:uiPriority w:val="99"/>
    <w:rPr>
      <w:rFonts w:cs="Times New Roman"/>
      <w:sz w:val="18"/>
      <w:szCs w:val="18"/>
    </w:rPr>
  </w:style>
  <w:style w:type="character" w:customStyle="1" w:styleId="16">
    <w:name w:val="Subtitle Char"/>
    <w:basedOn w:val="10"/>
    <w:link w:val="6"/>
    <w:qFormat/>
    <w:locked/>
    <w:uiPriority w:val="99"/>
    <w:rPr>
      <w:rFonts w:ascii="Cambria" w:hAnsi="Cambria" w:eastAsia="宋体" w:cs="Times New Roman"/>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833</Words>
  <Characters>4753</Characters>
  <Lines>0</Lines>
  <Paragraphs>0</Paragraphs>
  <TotalTime>30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2019-12-26T07:41:00Z</dcterms:created>
  <dc:creator>pc</dc:creator>
  <cp:lastModifiedBy>Administrator</cp:lastModifiedBy>
  <cp:lastPrinted>2020-01-02T03:41:00Z</cp:lastPrinted>
  <dcterms:modified xsi:type="dcterms:W3CDTF">2020-01-14T00:49:13Z</dcterms:modified>
  <dc:title>关于做好2019年政府信息公开工作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