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eastAsia="方正小标宋简体"/>
          <w:spacing w:val="-6"/>
          <w:sz w:val="44"/>
          <w:szCs w:val="44"/>
          <w:lang w:eastAsia="zh-CN"/>
        </w:rPr>
      </w:pPr>
      <w:bookmarkStart w:id="0" w:name="SOA_Title"/>
      <w:r>
        <w:rPr>
          <w:rFonts w:hint="eastAsia" w:ascii="方正小标宋简体" w:eastAsia="方正小标宋简体"/>
          <w:spacing w:val="-6"/>
          <w:sz w:val="44"/>
          <w:szCs w:val="44"/>
          <w:lang w:eastAsia="zh-CN"/>
        </w:rPr>
        <w:t>晋江市农业农村局关于</w:t>
      </w:r>
    </w:p>
    <w:p>
      <w:pPr>
        <w:spacing w:line="560" w:lineRule="exact"/>
        <w:jc w:val="center"/>
        <w:rPr>
          <w:rFonts w:hint="eastAsia" w:ascii="方正小标宋简体" w:eastAsia="方正小标宋简体"/>
          <w:spacing w:val="-6"/>
          <w:sz w:val="44"/>
          <w:szCs w:val="44"/>
          <w:lang w:eastAsia="zh-CN"/>
        </w:rPr>
      </w:pPr>
      <w:r>
        <w:rPr>
          <w:rFonts w:hint="eastAsia" w:ascii="方正小标宋简体" w:eastAsia="方正小标宋简体"/>
          <w:spacing w:val="-6"/>
          <w:sz w:val="44"/>
          <w:szCs w:val="44"/>
          <w:lang w:eastAsia="zh-CN"/>
        </w:rPr>
        <w:t>开展</w:t>
      </w:r>
      <w:bookmarkEnd w:id="0"/>
      <w:r>
        <w:rPr>
          <w:rFonts w:hint="eastAsia" w:ascii="方正小标宋简体" w:eastAsia="方正小标宋简体"/>
          <w:spacing w:val="-6"/>
          <w:sz w:val="44"/>
          <w:szCs w:val="44"/>
          <w:lang w:eastAsia="zh-CN"/>
        </w:rPr>
        <w:t>20</w:t>
      </w:r>
      <w:r>
        <w:rPr>
          <w:rFonts w:hint="eastAsia" w:ascii="方正小标宋简体" w:eastAsia="方正小标宋简体"/>
          <w:spacing w:val="-6"/>
          <w:sz w:val="44"/>
          <w:szCs w:val="44"/>
          <w:lang w:val="en-US" w:eastAsia="zh-CN"/>
        </w:rPr>
        <w:t>23</w:t>
      </w:r>
      <w:r>
        <w:rPr>
          <w:rFonts w:hint="eastAsia" w:ascii="方正小标宋简体" w:eastAsia="方正小标宋简体"/>
          <w:spacing w:val="-6"/>
          <w:sz w:val="44"/>
          <w:szCs w:val="44"/>
          <w:lang w:eastAsia="zh-CN"/>
        </w:rPr>
        <w:t>年度泉州市级海洋经济</w:t>
      </w:r>
    </w:p>
    <w:p>
      <w:pPr>
        <w:spacing w:line="560" w:lineRule="exact"/>
        <w:jc w:val="center"/>
        <w:rPr>
          <w:rFonts w:hint="eastAsia" w:ascii="方正小标宋简体" w:eastAsia="方正小标宋简体"/>
          <w:sz w:val="44"/>
          <w:szCs w:val="44"/>
        </w:rPr>
      </w:pPr>
      <w:r>
        <w:rPr>
          <w:rFonts w:hint="eastAsia" w:ascii="方正小标宋简体" w:eastAsia="方正小标宋简体"/>
          <w:spacing w:val="-6"/>
          <w:sz w:val="44"/>
          <w:szCs w:val="44"/>
          <w:lang w:eastAsia="zh-CN"/>
        </w:rPr>
        <w:t>高质量发展专项资金（第二批）项目</w:t>
      </w:r>
      <w:r>
        <w:rPr>
          <w:rFonts w:hint="eastAsia" w:ascii="方正小标宋简体" w:eastAsia="方正小标宋简体"/>
          <w:sz w:val="44"/>
          <w:szCs w:val="44"/>
        </w:rPr>
        <w:t>的公示</w:t>
      </w:r>
    </w:p>
    <w:p>
      <w:pPr>
        <w:pStyle w:val="4"/>
        <w:spacing w:before="0" w:beforeAutospacing="0" w:after="0" w:afterAutospacing="0" w:line="560" w:lineRule="exact"/>
        <w:ind w:firstLine="640" w:firstLineChars="200"/>
        <w:jc w:val="both"/>
        <w:rPr>
          <w:rFonts w:hint="eastAsia" w:ascii="仿宋_GB2312" w:eastAsia="仿宋_GB2312"/>
          <w:sz w:val="32"/>
          <w:szCs w:val="32"/>
        </w:rPr>
      </w:pPr>
    </w:p>
    <w:p>
      <w:pPr>
        <w:pStyle w:val="4"/>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lang w:eastAsia="zh-CN"/>
        </w:rPr>
        <w:t>根据《泉州市财政局 泉州市海洋与渔业局关于印发泉州市市级海洋经济高质量发展专项资金管理暂行规定的通知》（泉财规〔202</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lang w:val="en-US" w:eastAsia="zh-CN"/>
        </w:rPr>
        <w:t>8</w:t>
      </w:r>
      <w:r>
        <w:rPr>
          <w:rFonts w:hint="eastAsia" w:ascii="仿宋_GB2312" w:eastAsia="仿宋_GB2312"/>
          <w:sz w:val="32"/>
          <w:szCs w:val="32"/>
          <w:lang w:eastAsia="zh-CN"/>
        </w:rPr>
        <w:t>号）和《泉州市海洋与渔业局关于做好</w:t>
      </w:r>
      <w:r>
        <w:rPr>
          <w:rFonts w:hint="eastAsia" w:ascii="仿宋_GB2312" w:eastAsia="仿宋_GB2312"/>
          <w:sz w:val="32"/>
          <w:szCs w:val="32"/>
          <w:lang w:val="en-US" w:eastAsia="zh-CN"/>
        </w:rPr>
        <w:t>2023年市级海洋经济高质量发展专项资金项目库平台申报管理的通知</w:t>
      </w:r>
      <w:r>
        <w:rPr>
          <w:rFonts w:hint="eastAsia" w:ascii="仿宋_GB2312" w:eastAsia="仿宋_GB2312"/>
          <w:sz w:val="32"/>
          <w:szCs w:val="32"/>
          <w:lang w:eastAsia="zh-CN"/>
        </w:rPr>
        <w:t>》文件精神，</w:t>
      </w:r>
      <w:r>
        <w:rPr>
          <w:rFonts w:hint="eastAsia" w:ascii="仿宋_GB2312" w:eastAsia="仿宋_GB2312"/>
          <w:sz w:val="32"/>
          <w:szCs w:val="32"/>
        </w:rPr>
        <w:t>我局组织开展</w:t>
      </w:r>
      <w:r>
        <w:rPr>
          <w:rFonts w:hint="eastAsia" w:ascii="仿宋_GB2312" w:eastAsia="仿宋_GB2312"/>
          <w:sz w:val="32"/>
          <w:szCs w:val="32"/>
          <w:lang w:eastAsia="zh-CN"/>
        </w:rPr>
        <w:t>泉州市级海洋经济高质量发展专项资金（第二批）项目</w:t>
      </w:r>
      <w:r>
        <w:rPr>
          <w:rFonts w:hint="eastAsia" w:ascii="仿宋_GB2312" w:eastAsia="仿宋_GB2312"/>
          <w:sz w:val="32"/>
          <w:szCs w:val="32"/>
        </w:rPr>
        <w:t>工作。经组织申报、</w:t>
      </w:r>
      <w:r>
        <w:rPr>
          <w:rFonts w:hint="eastAsia" w:ascii="仿宋_GB2312" w:eastAsia="仿宋_GB2312"/>
          <w:sz w:val="32"/>
          <w:szCs w:val="32"/>
          <w:lang w:eastAsia="zh-CN"/>
        </w:rPr>
        <w:t>现场走访</w:t>
      </w:r>
      <w:r>
        <w:rPr>
          <w:rFonts w:hint="eastAsia" w:ascii="仿宋_GB2312" w:eastAsia="仿宋_GB2312"/>
          <w:sz w:val="32"/>
          <w:szCs w:val="32"/>
        </w:rPr>
        <w:t>、</w:t>
      </w:r>
      <w:r>
        <w:rPr>
          <w:rFonts w:hint="eastAsia" w:ascii="仿宋_GB2312" w:eastAsia="仿宋_GB2312"/>
          <w:sz w:val="32"/>
          <w:szCs w:val="32"/>
          <w:lang w:eastAsia="zh-CN"/>
        </w:rPr>
        <w:t>专家评审和验收</w:t>
      </w:r>
      <w:r>
        <w:rPr>
          <w:rFonts w:hint="eastAsia" w:ascii="仿宋_GB2312" w:eastAsia="仿宋_GB2312"/>
          <w:sz w:val="32"/>
          <w:szCs w:val="32"/>
        </w:rPr>
        <w:t>等环节，</w:t>
      </w:r>
      <w:r>
        <w:rPr>
          <w:rFonts w:hint="eastAsia" w:ascii="仿宋_GB2312" w:eastAsia="仿宋_GB2312"/>
          <w:sz w:val="32"/>
          <w:szCs w:val="32"/>
          <w:lang w:eastAsia="zh-CN"/>
        </w:rPr>
        <w:t>现</w:t>
      </w:r>
      <w:r>
        <w:rPr>
          <w:rFonts w:hint="eastAsia" w:ascii="仿宋_GB2312" w:eastAsia="仿宋_GB2312"/>
          <w:sz w:val="32"/>
          <w:szCs w:val="32"/>
        </w:rPr>
        <w:t>有</w:t>
      </w:r>
      <w:r>
        <w:rPr>
          <w:rFonts w:hint="eastAsia" w:ascii="仿宋_GB2312" w:eastAsia="仿宋_GB2312"/>
          <w:sz w:val="32"/>
          <w:szCs w:val="32"/>
          <w:lang w:eastAsia="zh-CN"/>
        </w:rPr>
        <w:t>福建省渔家翁食品有限公司、福建永丰渔业有限公司</w:t>
      </w:r>
      <w:r>
        <w:rPr>
          <w:rFonts w:hint="eastAsia" w:ascii="仿宋_GB2312" w:eastAsia="仿宋_GB2312"/>
          <w:sz w:val="32"/>
          <w:szCs w:val="32"/>
        </w:rPr>
        <w:t>等</w:t>
      </w:r>
      <w:r>
        <w:rPr>
          <w:rFonts w:hint="eastAsia" w:ascii="仿宋_GB2312" w:eastAsia="仿宋_GB2312"/>
          <w:sz w:val="32"/>
          <w:szCs w:val="32"/>
          <w:lang w:val="en-US" w:eastAsia="zh-CN"/>
        </w:rPr>
        <w:t>2家企业申报项目</w:t>
      </w:r>
      <w:r>
        <w:rPr>
          <w:rFonts w:hint="eastAsia" w:ascii="仿宋_GB2312" w:eastAsia="仿宋_GB2312"/>
          <w:sz w:val="32"/>
          <w:szCs w:val="32"/>
        </w:rPr>
        <w:t>符合补助条件，现将</w:t>
      </w:r>
      <w:r>
        <w:rPr>
          <w:rFonts w:hint="eastAsia" w:ascii="仿宋_GB2312" w:eastAsia="仿宋_GB2312"/>
          <w:sz w:val="32"/>
          <w:szCs w:val="32"/>
          <w:lang w:eastAsia="zh-CN"/>
        </w:rPr>
        <w:t>泉州市级海洋经济高质量发展补助资金（第二批）项目</w:t>
      </w:r>
      <w:r>
        <w:rPr>
          <w:rFonts w:hint="eastAsia" w:ascii="仿宋_GB2312" w:eastAsia="仿宋_GB2312"/>
          <w:sz w:val="32"/>
          <w:szCs w:val="32"/>
        </w:rPr>
        <w:t>拟补助对象及补助资金给予公示，公示时间从202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val="en-US" w:eastAsia="zh-CN"/>
        </w:rPr>
        <w:t>8</w:t>
      </w:r>
      <w:r>
        <w:rPr>
          <w:rFonts w:hint="eastAsia" w:ascii="仿宋_GB2312" w:eastAsia="仿宋_GB2312"/>
          <w:sz w:val="32"/>
          <w:szCs w:val="32"/>
        </w:rPr>
        <w:t>月</w:t>
      </w:r>
      <w:r>
        <w:rPr>
          <w:rFonts w:hint="eastAsia" w:ascii="仿宋_GB2312" w:eastAsia="仿宋_GB2312"/>
          <w:sz w:val="32"/>
          <w:szCs w:val="32"/>
          <w:lang w:val="en-US" w:eastAsia="zh-CN"/>
        </w:rPr>
        <w:t>31</w:t>
      </w:r>
      <w:r>
        <w:rPr>
          <w:rFonts w:hint="eastAsia" w:ascii="仿宋_GB2312" w:eastAsia="仿宋_GB2312"/>
          <w:sz w:val="32"/>
          <w:szCs w:val="32"/>
        </w:rPr>
        <w:t>日起至</w:t>
      </w:r>
      <w:r>
        <w:rPr>
          <w:rFonts w:hint="eastAsia" w:ascii="仿宋_GB2312" w:eastAsia="仿宋_GB2312"/>
          <w:sz w:val="32"/>
          <w:szCs w:val="32"/>
          <w:lang w:val="en-US" w:eastAsia="zh-CN"/>
        </w:rPr>
        <w:t>9</w:t>
      </w:r>
      <w:r>
        <w:rPr>
          <w:rFonts w:hint="eastAsia" w:ascii="仿宋_GB2312" w:eastAsia="仿宋_GB2312"/>
          <w:sz w:val="32"/>
          <w:szCs w:val="32"/>
        </w:rPr>
        <w:t>月</w:t>
      </w:r>
      <w:r>
        <w:rPr>
          <w:rFonts w:hint="eastAsia" w:ascii="仿宋_GB2312" w:eastAsia="仿宋_GB2312"/>
          <w:sz w:val="32"/>
          <w:szCs w:val="32"/>
          <w:lang w:val="en-US" w:eastAsia="zh-CN"/>
        </w:rPr>
        <w:t>6</w:t>
      </w:r>
      <w:r>
        <w:rPr>
          <w:rFonts w:hint="eastAsia" w:ascii="仿宋_GB2312" w:eastAsia="仿宋_GB2312"/>
          <w:sz w:val="32"/>
          <w:szCs w:val="32"/>
        </w:rPr>
        <w:t>日止，欢迎广大群众对拟补助对象及补助资金进行监督，若有异议请致电或以其他形式向市农业农村局反映。</w:t>
      </w:r>
    </w:p>
    <w:p>
      <w:pPr>
        <w:pStyle w:val="4"/>
        <w:spacing w:before="0" w:beforeAutospacing="0" w:after="0" w:afterAutospacing="0"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联系电话：</w:t>
      </w:r>
      <w:r>
        <w:rPr>
          <w:rFonts w:hint="eastAsia" w:ascii="仿宋_GB2312" w:eastAsia="仿宋_GB2312"/>
          <w:sz w:val="32"/>
          <w:szCs w:val="32"/>
          <w:lang w:val="en-US" w:eastAsia="zh-CN"/>
        </w:rPr>
        <w:t>85678152</w:t>
      </w:r>
      <w:r>
        <w:rPr>
          <w:rFonts w:hint="eastAsia" w:ascii="仿宋_GB2312" w:eastAsia="仿宋_GB2312"/>
          <w:sz w:val="32"/>
          <w:szCs w:val="32"/>
        </w:rPr>
        <w:t xml:space="preserve">   </w:t>
      </w:r>
    </w:p>
    <w:p>
      <w:pPr>
        <w:pStyle w:val="4"/>
        <w:spacing w:before="0" w:beforeAutospacing="0" w:after="0" w:afterAutospacing="0"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时间：上午8:00—12:00 </w:t>
      </w:r>
    </w:p>
    <w:p>
      <w:pPr>
        <w:pStyle w:val="4"/>
        <w:spacing w:before="0" w:beforeAutospacing="0" w:after="0" w:afterAutospacing="0" w:line="560" w:lineRule="exact"/>
        <w:ind w:firstLine="640" w:firstLineChars="200"/>
        <w:jc w:val="both"/>
        <w:rPr>
          <w:rFonts w:hint="default" w:ascii="仿宋_GB2312" w:eastAsia="仿宋_GB2312"/>
          <w:sz w:val="32"/>
          <w:szCs w:val="32"/>
          <w:lang w:val="en-US" w:eastAsia="zh-CN"/>
        </w:rPr>
      </w:pPr>
      <w:r>
        <w:rPr>
          <w:rFonts w:hint="eastAsia" w:ascii="仿宋_GB2312" w:eastAsia="仿宋_GB2312"/>
          <w:sz w:val="32"/>
          <w:szCs w:val="32"/>
        </w:rPr>
        <w:t>    下午1</w:t>
      </w:r>
      <w:r>
        <w:rPr>
          <w:rFonts w:hint="eastAsia" w:ascii="仿宋_GB2312" w:eastAsia="仿宋_GB2312"/>
          <w:sz w:val="32"/>
          <w:szCs w:val="32"/>
          <w:lang w:val="en-US" w:eastAsia="zh-CN"/>
        </w:rPr>
        <w:t>5:00</w:t>
      </w:r>
      <w:r>
        <w:rPr>
          <w:rFonts w:hint="eastAsia" w:ascii="仿宋_GB2312" w:eastAsia="仿宋_GB2312"/>
          <w:sz w:val="32"/>
          <w:szCs w:val="32"/>
        </w:rPr>
        <w:t>—1</w:t>
      </w:r>
      <w:r>
        <w:rPr>
          <w:rFonts w:hint="eastAsia" w:ascii="仿宋_GB2312" w:eastAsia="仿宋_GB2312"/>
          <w:sz w:val="32"/>
          <w:szCs w:val="32"/>
          <w:lang w:val="en-US" w:eastAsia="zh-CN"/>
        </w:rPr>
        <w:t>8:00</w:t>
      </w:r>
    </w:p>
    <w:p>
      <w:pPr>
        <w:pStyle w:val="4"/>
        <w:spacing w:before="0" w:beforeAutospacing="0" w:after="0" w:afterAutospacing="0" w:line="560" w:lineRule="exact"/>
        <w:ind w:firstLine="640" w:firstLineChars="200"/>
        <w:rPr>
          <w:rFonts w:ascii="仿宋_GB2312" w:eastAsia="仿宋_GB2312"/>
          <w:sz w:val="32"/>
          <w:szCs w:val="32"/>
        </w:rPr>
      </w:pPr>
    </w:p>
    <w:p>
      <w:pPr>
        <w:pStyle w:val="4"/>
        <w:spacing w:before="0" w:beforeAutospacing="0" w:after="0" w:afterAutospacing="0" w:line="560" w:lineRule="exact"/>
        <w:ind w:firstLine="4800" w:firstLineChars="1500"/>
        <w:rPr>
          <w:rFonts w:hint="eastAsia" w:ascii="仿宋_GB2312" w:eastAsia="仿宋_GB2312"/>
          <w:sz w:val="32"/>
          <w:szCs w:val="32"/>
        </w:rPr>
      </w:pPr>
      <w:r>
        <w:rPr>
          <w:rFonts w:hint="eastAsia" w:ascii="仿宋_GB2312" w:eastAsia="仿宋_GB2312"/>
          <w:sz w:val="32"/>
          <w:szCs w:val="32"/>
        </w:rPr>
        <w:t>晋江市农业农村局</w:t>
      </w:r>
    </w:p>
    <w:p>
      <w:pPr>
        <w:pStyle w:val="4"/>
        <w:spacing w:before="0" w:beforeAutospacing="0" w:after="0" w:afterAutospacing="0" w:line="560" w:lineRule="exact"/>
        <w:ind w:firstLine="640" w:firstLineChars="200"/>
        <w:rPr>
          <w:rFonts w:hint="eastAsia" w:ascii="仿宋_GB2312" w:eastAsia="仿宋_GB2312"/>
          <w:color w:val="3E3E3E"/>
          <w:sz w:val="32"/>
          <w:szCs w:val="32"/>
        </w:rPr>
        <w:sectPr>
          <w:pgSz w:w="11906" w:h="16838"/>
          <w:pgMar w:top="1440" w:right="1800" w:bottom="1440" w:left="1800" w:header="851" w:footer="992" w:gutter="0"/>
          <w:cols w:space="425" w:num="1"/>
          <w:docGrid w:type="lines" w:linePitch="312" w:charSpace="0"/>
        </w:sectPr>
      </w:pPr>
      <w:r>
        <w:rPr>
          <w:rFonts w:hint="eastAsia" w:ascii="仿宋_GB2312" w:eastAsia="仿宋_GB2312"/>
          <w:color w:val="3E3E3E"/>
          <w:sz w:val="32"/>
          <w:szCs w:val="32"/>
        </w:rPr>
        <w:t> </w:t>
      </w:r>
      <w:r>
        <w:rPr>
          <w:rFonts w:ascii="仿宋_GB2312" w:eastAsia="仿宋_GB2312"/>
          <w:color w:val="3E3E3E"/>
          <w:sz w:val="32"/>
          <w:szCs w:val="32"/>
        </w:rPr>
        <w:t xml:space="preserve">                        </w:t>
      </w:r>
      <w:r>
        <w:rPr>
          <w:rFonts w:hint="eastAsia" w:ascii="仿宋_GB2312" w:eastAsia="仿宋_GB2312"/>
          <w:color w:val="3E3E3E"/>
          <w:sz w:val="32"/>
          <w:szCs w:val="32"/>
        </w:rPr>
        <w:t>202</w:t>
      </w:r>
      <w:r>
        <w:rPr>
          <w:rFonts w:hint="eastAsia" w:ascii="仿宋_GB2312" w:eastAsia="仿宋_GB2312"/>
          <w:color w:val="3E3E3E"/>
          <w:sz w:val="32"/>
          <w:szCs w:val="32"/>
          <w:lang w:val="en-US" w:eastAsia="zh-CN"/>
        </w:rPr>
        <w:t>3</w:t>
      </w:r>
      <w:r>
        <w:rPr>
          <w:rFonts w:hint="eastAsia" w:ascii="仿宋_GB2312" w:eastAsia="仿宋_GB2312"/>
          <w:color w:val="3E3E3E"/>
          <w:sz w:val="32"/>
          <w:szCs w:val="32"/>
        </w:rPr>
        <w:t>年</w:t>
      </w:r>
      <w:r>
        <w:rPr>
          <w:rFonts w:hint="eastAsia" w:ascii="仿宋_GB2312" w:eastAsia="仿宋_GB2312"/>
          <w:color w:val="3E3E3E"/>
          <w:sz w:val="32"/>
          <w:szCs w:val="32"/>
          <w:lang w:val="en-US" w:eastAsia="zh-CN"/>
        </w:rPr>
        <w:t>8</w:t>
      </w:r>
      <w:r>
        <w:rPr>
          <w:rFonts w:hint="eastAsia" w:ascii="仿宋_GB2312" w:eastAsia="仿宋_GB2312"/>
          <w:color w:val="3E3E3E"/>
          <w:sz w:val="32"/>
          <w:szCs w:val="32"/>
        </w:rPr>
        <w:t>月</w:t>
      </w:r>
      <w:r>
        <w:rPr>
          <w:rFonts w:hint="eastAsia" w:ascii="仿宋_GB2312" w:eastAsia="仿宋_GB2312"/>
          <w:color w:val="3E3E3E"/>
          <w:sz w:val="32"/>
          <w:szCs w:val="32"/>
          <w:lang w:val="en-US" w:eastAsia="zh-CN"/>
        </w:rPr>
        <w:t>31</w:t>
      </w:r>
      <w:r>
        <w:rPr>
          <w:rFonts w:hint="eastAsia" w:ascii="仿宋_GB2312" w:eastAsia="仿宋_GB2312"/>
          <w:color w:val="3E3E3E"/>
          <w:sz w:val="32"/>
          <w:szCs w:val="32"/>
        </w:rPr>
        <w:t>日</w:t>
      </w:r>
    </w:p>
    <w:p>
      <w:pPr>
        <w:pStyle w:val="4"/>
        <w:spacing w:before="0" w:beforeAutospacing="0" w:after="0" w:afterAutospacing="0" w:line="240" w:lineRule="auto"/>
        <w:rPr>
          <w:rFonts w:hint="eastAsia" w:ascii="仿宋_GB2312" w:eastAsia="仿宋_GB2312"/>
          <w:color w:val="3E3E3E"/>
          <w:sz w:val="32"/>
          <w:szCs w:val="32"/>
          <w:lang w:eastAsia="zh-CN"/>
        </w:rPr>
      </w:pPr>
      <w:r>
        <w:rPr>
          <w:rFonts w:hint="eastAsia" w:ascii="仿宋_GB2312" w:eastAsia="仿宋_GB2312"/>
          <w:color w:val="3E3E3E"/>
          <w:sz w:val="32"/>
          <w:szCs w:val="32"/>
          <w:lang w:eastAsia="zh-CN"/>
        </w:rPr>
        <w:t>附件</w:t>
      </w:r>
    </w:p>
    <w:p>
      <w:pPr>
        <w:ind w:right="-941" w:rightChars="-448"/>
        <w:jc w:val="center"/>
        <w:rPr>
          <w:rFonts w:hint="eastAsia" w:ascii="Times New Roman" w:hAnsi="Times New Roman" w:eastAsia="方正小标宋简体" w:cs="方正小标宋简体"/>
          <w:caps w:val="0"/>
          <w:sz w:val="44"/>
          <w:szCs w:val="44"/>
          <w:lang w:eastAsia="zh-CN"/>
        </w:rPr>
      </w:pPr>
      <w:r>
        <w:rPr>
          <w:rFonts w:hint="eastAsia" w:ascii="Times New Roman" w:hAnsi="Times New Roman" w:eastAsia="方正小标宋简体" w:cs="方正小标宋简体"/>
          <w:caps w:val="0"/>
          <w:sz w:val="44"/>
          <w:szCs w:val="44"/>
          <w:lang w:eastAsia="zh-CN"/>
        </w:rPr>
        <w:t>202</w:t>
      </w:r>
      <w:r>
        <w:rPr>
          <w:rFonts w:hint="eastAsia" w:ascii="Times New Roman" w:hAnsi="Times New Roman" w:eastAsia="方正小标宋简体" w:cs="方正小标宋简体"/>
          <w:caps w:val="0"/>
          <w:sz w:val="44"/>
          <w:szCs w:val="44"/>
          <w:lang w:val="en-US" w:eastAsia="zh-CN"/>
        </w:rPr>
        <w:t>3</w:t>
      </w:r>
      <w:r>
        <w:rPr>
          <w:rFonts w:hint="eastAsia" w:ascii="Times New Roman" w:hAnsi="Times New Roman" w:eastAsia="方正小标宋简体" w:cs="方正小标宋简体"/>
          <w:caps w:val="0"/>
          <w:sz w:val="44"/>
          <w:szCs w:val="44"/>
          <w:lang w:eastAsia="zh-CN"/>
        </w:rPr>
        <w:t>年泉州市级海洋经济高质量发展专项资金项目（第二批）汇总表</w:t>
      </w:r>
    </w:p>
    <w:tbl>
      <w:tblPr>
        <w:tblStyle w:val="5"/>
        <w:tblpPr w:leftFromText="180" w:rightFromText="180" w:vertAnchor="text" w:horzAnchor="page" w:tblpXSpec="center" w:tblpY="621"/>
        <w:tblOverlap w:val="never"/>
        <w:tblW w:w="15154" w:type="dxa"/>
        <w:jc w:val="center"/>
        <w:tblLayout w:type="fixed"/>
        <w:tblCellMar>
          <w:top w:w="0" w:type="dxa"/>
          <w:left w:w="108" w:type="dxa"/>
          <w:bottom w:w="0" w:type="dxa"/>
          <w:right w:w="108" w:type="dxa"/>
        </w:tblCellMar>
      </w:tblPr>
      <w:tblGrid>
        <w:gridCol w:w="424"/>
        <w:gridCol w:w="2651"/>
        <w:gridCol w:w="3383"/>
        <w:gridCol w:w="3326"/>
        <w:gridCol w:w="1402"/>
        <w:gridCol w:w="1292"/>
        <w:gridCol w:w="1253"/>
        <w:gridCol w:w="1423"/>
      </w:tblGrid>
      <w:tr>
        <w:tblPrEx>
          <w:tblCellMar>
            <w:top w:w="0" w:type="dxa"/>
            <w:left w:w="108" w:type="dxa"/>
            <w:bottom w:w="0" w:type="dxa"/>
            <w:right w:w="108" w:type="dxa"/>
          </w:tblCellMar>
        </w:tblPrEx>
        <w:trPr>
          <w:trHeight w:val="510" w:hRule="atLeast"/>
          <w:jc w:val="center"/>
        </w:trPr>
        <w:tc>
          <w:tcPr>
            <w:tcW w:w="42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序号</w:t>
            </w:r>
          </w:p>
        </w:tc>
        <w:tc>
          <w:tcPr>
            <w:tcW w:w="265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申报单位</w:t>
            </w:r>
          </w:p>
        </w:tc>
        <w:tc>
          <w:tcPr>
            <w:tcW w:w="33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申报项目</w:t>
            </w:r>
          </w:p>
        </w:tc>
        <w:tc>
          <w:tcPr>
            <w:tcW w:w="3326"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补助标准</w:t>
            </w:r>
          </w:p>
        </w:tc>
        <w:tc>
          <w:tcPr>
            <w:tcW w:w="3947"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核定总投资</w:t>
            </w:r>
          </w:p>
        </w:tc>
        <w:tc>
          <w:tcPr>
            <w:tcW w:w="142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拟补助金额</w:t>
            </w:r>
          </w:p>
        </w:tc>
      </w:tr>
      <w:tr>
        <w:tblPrEx>
          <w:tblCellMar>
            <w:top w:w="0" w:type="dxa"/>
            <w:left w:w="108" w:type="dxa"/>
            <w:bottom w:w="0" w:type="dxa"/>
            <w:right w:w="108" w:type="dxa"/>
          </w:tblCellMar>
        </w:tblPrEx>
        <w:trPr>
          <w:trHeight w:val="562" w:hRule="atLeast"/>
          <w:jc w:val="center"/>
        </w:trPr>
        <w:tc>
          <w:tcPr>
            <w:tcW w:w="42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p>
        </w:tc>
        <w:tc>
          <w:tcPr>
            <w:tcW w:w="26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p>
        </w:tc>
        <w:tc>
          <w:tcPr>
            <w:tcW w:w="33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p>
        </w:tc>
        <w:tc>
          <w:tcPr>
            <w:tcW w:w="3326"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p>
        </w:tc>
        <w:tc>
          <w:tcPr>
            <w:tcW w:w="140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水产品</w:t>
            </w:r>
            <w:r>
              <w:rPr>
                <w:rFonts w:hint="eastAsia" w:ascii="仿宋_GB2312" w:hAnsi="仿宋_GB2312" w:eastAsia="仿宋_GB2312" w:cs="仿宋_GB2312"/>
                <w:caps w:val="0"/>
                <w:snapToGrid/>
                <w:color w:val="000000"/>
                <w:sz w:val="24"/>
                <w:szCs w:val="24"/>
                <w:lang w:eastAsia="zh-CN"/>
              </w:rPr>
              <w:br w:type="textWrapping"/>
            </w:r>
            <w:r>
              <w:rPr>
                <w:rFonts w:hint="eastAsia" w:ascii="仿宋_GB2312" w:hAnsi="仿宋_GB2312" w:eastAsia="仿宋_GB2312" w:cs="仿宋_GB2312"/>
                <w:caps w:val="0"/>
                <w:snapToGrid/>
                <w:color w:val="000000"/>
                <w:sz w:val="24"/>
                <w:szCs w:val="24"/>
                <w:lang w:eastAsia="zh-CN"/>
              </w:rPr>
              <w:t>总净重（吨）</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贷款金额（万元）</w:t>
            </w:r>
          </w:p>
        </w:tc>
        <w:tc>
          <w:tcPr>
            <w:tcW w:w="12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生产线建设投资（万元）</w:t>
            </w:r>
          </w:p>
        </w:tc>
        <w:tc>
          <w:tcPr>
            <w:tcW w:w="142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（万元，抹零取整）</w:t>
            </w:r>
          </w:p>
        </w:tc>
      </w:tr>
      <w:tr>
        <w:tblPrEx>
          <w:tblCellMar>
            <w:top w:w="0" w:type="dxa"/>
            <w:left w:w="108" w:type="dxa"/>
            <w:bottom w:w="0" w:type="dxa"/>
            <w:right w:w="108" w:type="dxa"/>
          </w:tblCellMar>
        </w:tblPrEx>
        <w:trPr>
          <w:trHeight w:val="590" w:hRule="atLeast"/>
          <w:jc w:val="center"/>
        </w:trPr>
        <w:tc>
          <w:tcPr>
            <w:tcW w:w="42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1</w:t>
            </w:r>
          </w:p>
        </w:tc>
        <w:tc>
          <w:tcPr>
            <w:tcW w:w="2651"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福建省渔家翁食品有限公司</w:t>
            </w:r>
          </w:p>
        </w:tc>
        <w:tc>
          <w:tcPr>
            <w:tcW w:w="338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val="en-US" w:eastAsia="zh-CN"/>
              </w:rPr>
              <w:t>海洋产品生产线（奖补类）</w:t>
            </w:r>
          </w:p>
        </w:tc>
        <w:tc>
          <w:tcPr>
            <w:tcW w:w="3326" w:type="dxa"/>
            <w:tcBorders>
              <w:top w:val="nil"/>
              <w:left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val="en-US" w:eastAsia="zh-CN"/>
              </w:rPr>
              <w:t xml:space="preserve">  </w:t>
            </w:r>
            <w:r>
              <w:rPr>
                <w:rFonts w:hint="eastAsia" w:ascii="仿宋_GB2312" w:hAnsi="仿宋_GB2312" w:eastAsia="仿宋_GB2312" w:cs="仿宋_GB2312"/>
                <w:caps w:val="0"/>
                <w:snapToGrid/>
                <w:color w:val="000000"/>
                <w:sz w:val="24"/>
                <w:szCs w:val="24"/>
                <w:lang w:eastAsia="zh-CN"/>
              </w:rPr>
              <w:t>购置设备费用累计不低于50万元的，按购置费20%奖补，每个单位奖补上限100万元。</w:t>
            </w:r>
          </w:p>
        </w:tc>
        <w:tc>
          <w:tcPr>
            <w:tcW w:w="140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w:t>
            </w:r>
          </w:p>
        </w:tc>
        <w:tc>
          <w:tcPr>
            <w:tcW w:w="1292"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w:t>
            </w:r>
          </w:p>
        </w:tc>
        <w:tc>
          <w:tcPr>
            <w:tcW w:w="1253"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168.49</w:t>
            </w:r>
          </w:p>
        </w:tc>
        <w:tc>
          <w:tcPr>
            <w:tcW w:w="1423"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33</w:t>
            </w:r>
          </w:p>
        </w:tc>
      </w:tr>
      <w:tr>
        <w:tblPrEx>
          <w:tblCellMar>
            <w:top w:w="0" w:type="dxa"/>
            <w:left w:w="108" w:type="dxa"/>
            <w:bottom w:w="0" w:type="dxa"/>
            <w:right w:w="108" w:type="dxa"/>
          </w:tblCellMar>
        </w:tblPrEx>
        <w:trPr>
          <w:trHeight w:val="1641" w:hRule="atLeast"/>
          <w:jc w:val="center"/>
        </w:trPr>
        <w:tc>
          <w:tcPr>
            <w:tcW w:w="42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2</w:t>
            </w:r>
          </w:p>
        </w:tc>
        <w:tc>
          <w:tcPr>
            <w:tcW w:w="26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福建永丰渔业有限公司</w:t>
            </w:r>
          </w:p>
        </w:tc>
        <w:tc>
          <w:tcPr>
            <w:tcW w:w="33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val="en-US" w:eastAsia="zh-CN"/>
              </w:rPr>
              <w:t>远洋渔业企业运回水产品在泉州口岸补助</w:t>
            </w:r>
          </w:p>
        </w:tc>
        <w:tc>
          <w:tcPr>
            <w:tcW w:w="33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远洋渔业企业运回泉州口岸的水产品，按报关单净重，市级财政每吨配套奖补资金200元，全市奖补总额不超过</w:t>
            </w:r>
            <w:r>
              <w:rPr>
                <w:rFonts w:hint="eastAsia" w:ascii="仿宋_GB2312" w:hAnsi="仿宋_GB2312" w:eastAsia="仿宋_GB2312" w:cs="仿宋_GB2312"/>
                <w:caps w:val="0"/>
                <w:snapToGrid/>
                <w:color w:val="000000"/>
                <w:sz w:val="24"/>
                <w:szCs w:val="24"/>
                <w:lang w:val="en-US" w:eastAsia="zh-CN"/>
              </w:rPr>
              <w:t>1300万元</w:t>
            </w:r>
            <w:r>
              <w:rPr>
                <w:rFonts w:hint="eastAsia" w:ascii="仿宋_GB2312" w:hAnsi="仿宋_GB2312" w:eastAsia="仿宋_GB2312" w:cs="仿宋_GB2312"/>
                <w:caps w:val="0"/>
                <w:snapToGrid/>
                <w:color w:val="000000"/>
                <w:sz w:val="24"/>
                <w:szCs w:val="24"/>
                <w:lang w:eastAsia="zh-CN"/>
              </w:rPr>
              <w:t>。</w:t>
            </w:r>
          </w:p>
        </w:tc>
        <w:tc>
          <w:tcPr>
            <w:tcW w:w="14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3610.626</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w:t>
            </w:r>
          </w:p>
        </w:tc>
        <w:tc>
          <w:tcPr>
            <w:tcW w:w="12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w:t>
            </w:r>
          </w:p>
        </w:tc>
        <w:tc>
          <w:tcPr>
            <w:tcW w:w="142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eastAsia" w:ascii="仿宋_GB2312" w:hAnsi="仿宋_GB2312" w:eastAsia="仿宋_GB2312" w:cs="仿宋_GB2312"/>
                <w:caps w:val="0"/>
                <w:snapToGrid/>
                <w:color w:val="000000"/>
                <w:sz w:val="24"/>
                <w:szCs w:val="24"/>
                <w:lang w:val="en-US" w:eastAsia="zh-CN"/>
              </w:rPr>
              <w:t>72</w:t>
            </w:r>
          </w:p>
        </w:tc>
      </w:tr>
      <w:tr>
        <w:tblPrEx>
          <w:tblCellMar>
            <w:top w:w="0" w:type="dxa"/>
            <w:left w:w="108" w:type="dxa"/>
            <w:bottom w:w="0" w:type="dxa"/>
            <w:right w:w="108" w:type="dxa"/>
          </w:tblCellMar>
        </w:tblPrEx>
        <w:trPr>
          <w:trHeight w:val="480" w:hRule="atLeast"/>
          <w:jc w:val="center"/>
        </w:trPr>
        <w:tc>
          <w:tcPr>
            <w:tcW w:w="9784"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合计</w:t>
            </w:r>
          </w:p>
        </w:tc>
        <w:tc>
          <w:tcPr>
            <w:tcW w:w="140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　</w:t>
            </w:r>
          </w:p>
        </w:tc>
        <w:tc>
          <w:tcPr>
            <w:tcW w:w="129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aps w:val="0"/>
                <w:snapToGrid/>
                <w:color w:val="000000"/>
                <w:sz w:val="24"/>
                <w:szCs w:val="24"/>
                <w:lang w:eastAsia="zh-CN"/>
              </w:rPr>
            </w:pPr>
            <w:r>
              <w:rPr>
                <w:rFonts w:hint="eastAsia" w:ascii="仿宋_GB2312" w:hAnsi="仿宋_GB2312" w:eastAsia="仿宋_GB2312" w:cs="仿宋_GB2312"/>
                <w:caps w:val="0"/>
                <w:snapToGrid/>
                <w:color w:val="000000"/>
                <w:sz w:val="24"/>
                <w:szCs w:val="24"/>
                <w:lang w:eastAsia="zh-CN"/>
              </w:rPr>
              <w:t>　</w:t>
            </w:r>
          </w:p>
        </w:tc>
        <w:tc>
          <w:tcPr>
            <w:tcW w:w="1253"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p>
        </w:tc>
        <w:tc>
          <w:tcPr>
            <w:tcW w:w="1423"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仿宋_GB2312"/>
                <w:caps w:val="0"/>
                <w:snapToGrid/>
                <w:color w:val="000000"/>
                <w:sz w:val="24"/>
                <w:szCs w:val="24"/>
                <w:lang w:val="en-US" w:eastAsia="zh-CN"/>
              </w:rPr>
            </w:pPr>
            <w:r>
              <w:rPr>
                <w:rFonts w:hint="default" w:ascii="仿宋_GB2312" w:hAnsi="仿宋_GB2312" w:eastAsia="仿宋_GB2312" w:cs="仿宋_GB2312"/>
                <w:caps w:val="0"/>
                <w:snapToGrid/>
                <w:color w:val="000000"/>
                <w:sz w:val="24"/>
                <w:szCs w:val="24"/>
                <w:lang w:val="en-US" w:eastAsia="zh-CN"/>
              </w:rPr>
              <w:t>105</w:t>
            </w:r>
          </w:p>
        </w:tc>
      </w:tr>
    </w:tbl>
    <w:p>
      <w:pPr>
        <w:spacing w:line="560" w:lineRule="exact"/>
        <w:jc w:val="left"/>
        <w:rPr>
          <w:rFonts w:hint="eastAsia" w:eastAsia="等线"/>
          <w:lang w:eastAsia="zh-CN"/>
        </w:rPr>
      </w:pPr>
      <w:bookmarkStart w:id="1" w:name="_GoBack"/>
      <w:bookmarkEnd w:id="1"/>
    </w:p>
    <w:sectPr>
      <w:pgSz w:w="16838" w:h="11906" w:orient="landscape"/>
      <w:pgMar w:top="1800" w:right="1440" w:bottom="1800" w:left="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0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1905B5"/>
    <w:rsid w:val="0C0102C6"/>
    <w:rsid w:val="0C0B44AE"/>
    <w:rsid w:val="13DF7521"/>
    <w:rsid w:val="160B53DA"/>
    <w:rsid w:val="17C93AB1"/>
    <w:rsid w:val="1A457874"/>
    <w:rsid w:val="1E5D3D0E"/>
    <w:rsid w:val="2A674C63"/>
    <w:rsid w:val="320C028D"/>
    <w:rsid w:val="32BD5318"/>
    <w:rsid w:val="38A0578B"/>
    <w:rsid w:val="3B074DED"/>
    <w:rsid w:val="47095AF9"/>
    <w:rsid w:val="4BB23021"/>
    <w:rsid w:val="4FBA3A44"/>
    <w:rsid w:val="578D5093"/>
    <w:rsid w:val="5D815A7A"/>
    <w:rsid w:val="5DE24A5A"/>
    <w:rsid w:val="602B6240"/>
    <w:rsid w:val="60B96575"/>
    <w:rsid w:val="71E06B0F"/>
    <w:rsid w:val="74971CCD"/>
    <w:rsid w:val="785B4524"/>
    <w:rsid w:val="7BB14A1E"/>
    <w:rsid w:val="7E8F5C6C"/>
    <w:rsid w:val="7F82254F"/>
    <w:rsid w:val="7FAE3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character" w:default="1" w:styleId="6">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customStyle="1" w:styleId="2">
    <w:name w:val="Acetate"/>
    <w:basedOn w:val="1"/>
    <w:qFormat/>
    <w:uiPriority w:val="0"/>
    <w:pPr>
      <w:textAlignment w:val="baseline"/>
    </w:pPr>
    <w:rPr>
      <w:rFonts w:ascii="Calibri" w:hAnsi="Calibri"/>
      <w:sz w:val="18"/>
      <w:szCs w:val="18"/>
    </w:rPr>
  </w:style>
  <w:style w:type="paragraph" w:styleId="3">
    <w:name w:val="Normal Indent"/>
    <w:basedOn w:val="1"/>
    <w:qFormat/>
    <w:uiPriority w:val="99"/>
    <w:pPr>
      <w:spacing w:line="520" w:lineRule="exact"/>
      <w:ind w:firstLine="420" w:firstLineChars="200"/>
    </w:pPr>
    <w:rPr>
      <w:rFonts w:eastAsia="仿宋_GB2312"/>
      <w:spacing w:val="6"/>
      <w:sz w:val="30"/>
      <w:szCs w:val="20"/>
    </w:rPr>
  </w:style>
  <w:style w:type="paragraph" w:styleId="4">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492</Words>
  <Characters>567</Characters>
  <Paragraphs>12</Paragraphs>
  <TotalTime>0</TotalTime>
  <ScaleCrop>false</ScaleCrop>
  <LinksUpToDate>false</LinksUpToDate>
  <CharactersWithSpaces>603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2022-10-25T13:59:00Z</dcterms:created>
  <dc:creator>happy 100</dc:creator>
  <cp:lastModifiedBy>Administrator</cp:lastModifiedBy>
  <cp:lastPrinted>2022-11-08T03:10:00Z</cp:lastPrinted>
  <dcterms:modified xsi:type="dcterms:W3CDTF">2023-08-31T08:15:30Z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3804692C7E7E4CE0B842D980D92310FE</vt:lpwstr>
  </property>
</Properties>
</file>