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val="en-US" w:eastAsia="zh-CN"/>
        </w:rPr>
        <w:t>2023年晋江市</w:t>
      </w:r>
      <w:r>
        <w:rPr>
          <w:rFonts w:hint="eastAsia" w:ascii="方正小标宋_GBK" w:eastAsia="方正小标宋_GBK"/>
          <w:sz w:val="32"/>
          <w:szCs w:val="32"/>
        </w:rPr>
        <w:t>政府预决算相关重要事项说明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</w:t>
      </w:r>
      <w:r>
        <w:rPr>
          <w:rFonts w:hint="eastAsia" w:ascii="方正黑体_GBK" w:hAnsi="黑体" w:eastAsia="方正黑体_GBK"/>
          <w:sz w:val="32"/>
          <w:szCs w:val="32"/>
          <w:lang w:eastAsia="zh-CN"/>
        </w:rPr>
        <w:t>、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晋江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市本级支出预算说明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晋江市本级</w:t>
      </w:r>
      <w:r>
        <w:rPr>
          <w:rFonts w:hint="eastAsia" w:ascii="仿宋" w:hAnsi="仿宋" w:eastAsia="仿宋" w:cs="Arial"/>
          <w:kern w:val="0"/>
          <w:sz w:val="32"/>
          <w:szCs w:val="32"/>
        </w:rPr>
        <w:t>一般公共预算支出数为1505000万元，比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年度预算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基</w:t>
      </w:r>
      <w:r>
        <w:rPr>
          <w:rFonts w:hint="eastAsia" w:ascii="仿宋" w:hAnsi="仿宋" w:eastAsia="仿宋" w:cs="Arial"/>
          <w:kern w:val="0"/>
          <w:sz w:val="32"/>
          <w:szCs w:val="32"/>
        </w:rPr>
        <w:t>数</w:t>
      </w:r>
      <w:r>
        <w:rPr>
          <w:rFonts w:hint="eastAsia" w:ascii="仿宋" w:hAnsi="仿宋" w:eastAsia="仿宋"/>
          <w:kern w:val="0"/>
          <w:sz w:val="32"/>
          <w:szCs w:val="32"/>
        </w:rPr>
        <w:t>增加71000万元，增长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4.95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一般公共服务支出71300万元，较2022年度预算基数增加4000万元，增长5.94%。其中：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人大事务1790万元，较2022年度预算基数减少109万元，下降5.74%。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2.政协事务1436万元，较2022年度预算基数增加36万元，增长2.57%。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3.政府办公厅（室）及相关机构事务17292万元，较2022年度预算基数增加637万元，增长3.82%。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4.发展与改革事务2872万元，较2022年度预算基数增加695万元，增长31.92%。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5.统计信息事务1853万元，较2022年度预算基数增加355万元，增长23.7%。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6.财政事务3112万元，较2022年度预算基数增加66万元，增长2.17%。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7.税收事务5000万元，较2022年度预算基数增加2000万元，增长66.67%。主要原因是增加税务部门协税经费。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8.审计事务877万元，较2022年度预算基数减少31万元，下降3.41%。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9.纪检监察事务4387万元，较2022年度预算基数减少132万元，下降2.92%。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10.商贸事务1162万元，较2022年度预算基数减少555万元，下降32.32%。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11.民族事务251万元，较2022年度预算基数保持不变。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12.港澳台事务147万元，较2022年度预算基数减少5万元，下降3.29%。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13.档案事务748万元，较2022年度预算基数增加136万元，增长22.22%。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14.民主党派及工商联事务706万元，较2022年度预算基数减少147万元，下降17.23%。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15.群众团体事务2631万元，较2022年度预算基数减少76万元，下降2.81%。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16.党委办公厅（室）及相关机构事务4770万元，较2022年度预算基数增加1569万元，增长49.02%。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17.组织事务2257万元，较2022年度预算基数减少285万元，下降11.21%。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18.宣传事务2473万元，较2022年度预算基数减少127万元，下降4.88%。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19.统战事务1455万元，较2022年度预算基数减少184万元，下降11.23%。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20.其他共产党事务支出2026万元，较2022年度预算基数减少282万元，下降12.22%。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21.市场监督管理事务8894万元，较2022年度预算基数减少265万元，下降2.89%。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22.其他一般公共服务支出5161万元，较2022年度预算基数增加704万元，增长15.8%。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（二）国防支出2000万元，较2022年度预算基数增加600万元，增长42.86%。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（三）公共安全支出73800万元，较2022年度预算基数增加4400万元，增长6.34%。其中：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1.武装警察部队250万元，较2022年度预算基数减少78万元，下降23.78%。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2.公安62797万元，较2022年度预算基数减少29万元，下降0.05%。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3.国家安全210万元，较2022年度预算基数保持不变。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4.检察33万元，较2022年度预算基数减少182万元，下降84.65%。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5.法院1251万元，较2022年度预算基数减少49万元，下降3.77%。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6.司法3069万元，较2022年度预算基数增加43万元，增长1.42%。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7.其他公共安全支出6190万元，较2022年度预算基数增加4695万元，增长314.05%。主要原因是预留公检法系统年终绩效奖金。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（四）教育支出412600万元，较2022年度预算基数增加10700万元，增长2.66%。其中：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1.教育管理事务4057万元，较2022年度预算基数减少180万元，下降4.25%。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2.普通教育301967万元，较2022年度预算基数减少24934万元，下降7.63%。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3.职业教育11997万元，较2022年度预算基数减少1403万元，下降10.47%。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4.特殊教育2728万元，较2022年度预算基数减少68万元，下降2.43%。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5.进修及培训2401万元，较2022年度预算基数增加39万元，增长1.65%。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6.教育费附加安排的支出25000万元，较2022年度预算基数减少914万元，下降3.53%。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7.其他教育支出64450万元，较2022年度预算基数增加38259万元，增长146.08%。主要原因是增人增资。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（五）科学技术支出87200万元，较2022年度预算基数增加11900万元，增长15.8%。其中：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1.科学技术管理事务2748万元，较2022年度预算基数增加396万元，增长16.84%。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2.应用研究12541万元，较2022年度预算基数增加5111万元，增长68.79%。主要原因是增加科技创新研发扶持专项资金。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3.社会科学213万元，较2022年度预算基数增加28万元，增长15.14%。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4.科学技术普及817万元，较2022年度预算基数减少22万元，下降2.62%。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5.其他科学技术支出70881万元，较2022年度预算基数增加6387万元，增长9.9%。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（六）文化旅游体育与传媒支出26400万元，较2022年度预算基数增加1900万元，增长7.76%。其中：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1.文化和旅游16391万元，较2022年度预算基数增加627万元，增长3.98%。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2.文物565万元，较2022年度预算基数减少49万元，下降7.98%。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3.体育3421万元，较2022年度预算基数增加708万元，增长26.1%。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4.新闻出版电影1047万元，较2022年度预算基数保持不变。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5.广播电视3686万元，较2022年度预算基数增加86万元，增长2.39%。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6.其他文化旅游体育与传媒支出1290万元，较2022年度预算基数增加528万元，增长69.29%。主要原因是增人增资。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（七）社会保障和就业支出167300万元，较2022年度预算基数增加18300万元，增长12.28%。其中：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1.人力资源和社会保障管理事务3624万元，较2022年度预算基数增加618万元，增长20.56%。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2.民政管理事务2786万元，较2022年度预算基数减少452万元，下降13.96%。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3.行政事业单位养老支出93191万元，较2022年度预算基数增加12234万元，增长15.11%。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4.就业补助800万元，较2022年度预算基数增加500万元，增长166.67%。主要原因是增加就业补助专项资金等。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5.抚恤5255万元，较2022年度预算基数增加785万元，增长17.56%。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6.退役安置2500万元，较2022年度预算基数增加202万元，增长8.79%。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7.社会福利6451万元，较2022年度预算基数减少613万元，下降8.68%。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8.残疾人事业5609万元，较2022年度预算基数增加483万元，增长9.42%。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9.红十字事业203万元，较2022年度预算基数减少24万元，下降10.57%。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10.最低生活保障7186万元，较2022年度预算基数增加625万元，增长9.53%。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11.临时救助3097万元，较2022年度预算基数增加2217万元，增长251.93%。主要原因是增加四帮四扶及其他社会救助专项资金。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12.特困人员救助供养1683万元，较2022年度预算基数增加231万元，增长15.91%。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13.财政对基本养老保险基金的补助31014万元，较2022年度预算基数增加1903万元，增长6.54%。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14.退役军人管理事务1478万元，较2022年度预算基数减少106万元，下降6.69%。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15.财政代缴社会保险费支出1020万元，较2022年度预算基数保持不变。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16.其他社会保障和就业支出（款）1403万元，较2022年度预算基数减少303万元，下降17.76%。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（八）卫生健康支出158100万元，较2022年度预算基数增加15400万元，增长10.79%。其中：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1.卫生健康管理事务2242万元，较2022年度预算基数增加792万元，增长54.62%。主要原因是增加人才引培专项经费。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2.公立医院19460万元，较2022年度预算基数减少1064万元，下降5.18%。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3.基层医疗卫生机构10125万元，较2022年度预算基数减少1910万元，下降15.87%。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4.公共卫生26139万元，较2022年度预算基数增加1944万元，增长8.03%。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5.计划生育事务6684万元，较2022年度预算基数增加518万元，增长8.4%。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6.行政事业单位医疗26782万元，较2022年度预算基数增加4290万元，增长19.07%。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7.财政对基本医疗保险基金的补助54535万元，较2022年度预算基数增加8243万元，增长17.81%。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8.医疗救助1900万元，较2022年度预算基数增加116万元，增长6.5%。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9.优抚对象医疗230万元，较2022年度预算基数增加230万元。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10.医疗保障管理事务2355万元，较2022年度预算基数增加40万元，增长1.73%。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11.老龄卫生健康事务1019万元，较2022年度预算基数增加249万元，增长32.34%。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12.其他卫生健康支出6629万元，较2022年度预算基数增加1952万元，增长41.74%。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（九）节能环保支出4200万元，较2022年度预算基数减少200万元，下降4.55%。其中：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1.环境保护管理事务926万元，较2022年度预算基数增加66万元，增长7.67%。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2.环境监测与监察601万元，较2022年度预算基数增加61万元，增长11.3%。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3.自然生态保护508万元，较2022年度预算基数减少2万元，下降0.39%。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4.其他节能环保支出2165万元，较2022年度预算基数减少325万元，下降13.05%。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（十）城乡社区支出97900万元，较2022年度预算基数增加6100万元，增长6.64%。其中：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1.城乡社区管理事务14774万元，较2022年度预算基数增加216万元，增长1.48%。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2.城乡社区公共设施2464万元，较2022年度预算基数减少359万元，下降12.72%。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3.城乡社区环境卫生（款）17491万元，较2022年度预算基数增加1220万元，增长7.5%。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4.其他城乡社区支出63171万元，较2022年度预算基数增加5871万元，增长10.25%。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（十一）农林水支出144100万元，较2022年度预算基数增加20500万元，增长16.59%。其中：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1.农业农村44493万元，较2022年度预算基数增加8277万元，增长22.85%。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2.林业和草原17279万元，较2022年度预算基数增加2174万元，增长14.39%。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3.水利33586万元，较2022年度预算基数增加4686万元，增长16.21%。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4.扶贫8500万元，较2022年度预算基数增加67万元，增长0.79%。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5.农村综合改革22930万元，较2022年度预算基数增加3539万元，增长18.25%。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6.普惠金融发展支出10万元，较2022年度预算基数减少90万元，下降90%。主要原因是减少创业担保贷款贴息。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7.其他农林水支出（款）17302万元，较2022年度预算基数增加1847万元，增长11.95%。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（十二）交通运输支出16000万元，较2022年度预算基数减少500万元，下降3.03%。其中：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1.公路水路运输4705万元，较2022年度预算基数减少1307万元，下降21.74%。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2民用航空运输4000万元，较2022年度预算基数保持不变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3.邮政业支出212万元，较2022年度预算基数增加19万元，增长9.84%。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4.其他交通运输支出（款）7083万元，较2022年度预算基数增加788万元，增长12.52%。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（十三）资源勘探工业信息等支出63500万元，较2022年度预算基数减少14300万元，下降18.38%。其中：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1.制造业311万元，较2022年度预算基数减少18万元，下降5.47%。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2.工业和信息产业监管1143万元，较2022年度预算基数减少507万元，下降30.73%。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3.支持中小企业发展和管理支出58620万元，较2022年度预算基数减少16520万元，下降21.99%。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4.其他资源勘探工业信息等支出（款）3426万元，较2022年度预算基数增加2745万元，增长403.08%。主要原因是增加经济发展指标奖励经费。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（十四）商业服务业等支出49700万元，较2022年度预算基数减少6200万元，下降11.09%。其中：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1.商业流通事务518万元，较2022年度预算基数减少21万元，下降3.9%。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2.涉外发展服务支出2840万元，较2022年度预算基数减少122万元，下降4.12%。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3.其他商业服务业等支出（款）46342万元，较2022年度预算基数减少6057万元，下降11.56%。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（十五）金融支出3900万元，较2022年度预算基数保持不变。其中：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1.金融部门行政支出502万元，较2022年度预算基数减少61万元，下降10.83%。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2.金融发展支出135万元，较2022年度预算基数减少10万元，下降6.9%。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3.其他金融支出3263万元，较2022年度预算基数增加71万元，增长2.22%。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（十六）自然资源海洋气象等支出6100万元，较2022年度预算基数增加1000万元，增长19.61%。其中：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1.自然资源事务4526万元，较2022年度预算基数增加199万元，增长4.6%。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2.气象事务793万元，较2022年度预算基数增加264万元，增长49.91%。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3.其他自然资源海洋气象等支出781万元，较2022年度预算基数增加537万元，增长220.08%。主要原因是增人增资。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（十七）住房保障支出46200万元，较2022年度预算基数减少3200万元，下降6.48%。其中：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1.保障性安居工程支出0万元，较2022年度预算基数减少283万元。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2.住房改革支出46200万元，较2022年度预算基数减少2917万元，下降5.94%。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（十八）粮油物资储备支出3980万元，较2022年度预算基数增加1680万元，增长73.04%。其中：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粮油物资事务3980万元，较2022年度预算基数增加1680万元，增长73.04%。主要原因是增加粮食政策性补贴。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（十九）灾害防治及应急管理支出12000万元，较2022年度预算基数保持不变。其中：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1.应急管理事务3294万元，较2022年度预算基数增加126万元，增长3.98%。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2.消防事务7995万元，较2022年度预算基数增加1124万元，增长16.36%。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3.地震事务425万元，较2022年度预算基数增加137万元，增长47.57%。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4.其他灾害防治及应急管理支出286万元，较2022年度预算基数增加79万元，增长38.16%。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（二十）预备费15100万元，较2022年度预算基数增加800万元，增长5.59%。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（二十一）其他支出（类）220万元，较2022年度预算基数减少80万元，下降26.67%。其中：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其他支出（款）220万元，较2022年度预算基数减少80万元，下降26.67%。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（二十二）232-债务付息支出43200万元，较2022年度预算基数减少1700万元，下降3.79%。其中：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地方政府一般债务付息支出43200万元，较2022年度预算基数减少1700万元，下降3.79%。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（二十三）债务发行费用支出200万元，较2022年度预算基数减少100万元，下降33.33%。其中：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地方政府一般债务发行费用支出200万元，较2022年度预算基数减少100万元，下降33.33%。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.</w:t>
      </w:r>
      <w:r>
        <w:rPr>
          <w:rFonts w:hint="eastAsia" w:ascii="黑体" w:hAnsi="黑体" w:eastAsia="黑体"/>
          <w:sz w:val="32"/>
          <w:szCs w:val="32"/>
        </w:rPr>
        <w:t>财政转移支付安排情况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Arial"/>
          <w:kern w:val="0"/>
          <w:sz w:val="32"/>
          <w:szCs w:val="32"/>
        </w:rPr>
        <w:t>所乡镇作为一级预算部门管理，未单独编制政府预</w:t>
      </w:r>
    </w:p>
    <w:p>
      <w:pPr>
        <w:spacing w:line="600" w:lineRule="exac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算，因此没有一般公共预算对下税收返还和转移支付预算数据。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hint="eastAsia" w:ascii="黑体" w:hAnsi="黑体" w:eastAsia="黑体"/>
          <w:sz w:val="32"/>
          <w:szCs w:val="32"/>
          <w:lang w:eastAsia="zh-CN"/>
        </w:rPr>
        <w:t>.</w:t>
      </w:r>
      <w:r>
        <w:rPr>
          <w:rFonts w:hint="eastAsia" w:ascii="黑体" w:hAnsi="黑体" w:eastAsia="黑体"/>
          <w:sz w:val="32"/>
          <w:szCs w:val="32"/>
        </w:rPr>
        <w:t>举借政府债务情况</w:t>
      </w:r>
    </w:p>
    <w:p>
      <w:pPr>
        <w:spacing w:line="600" w:lineRule="exact"/>
        <w:ind w:firstLine="620"/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2022年，全市新增政府债务限额609167万元，实际发行新增债券609167万元（一般债券30189万元，专项债券578978万元）。截至2022年底，全市政府债务余额3688756万元（一般债务1193062万元，专项债务2495694万元），债务余额严格控制在上级核定的限额3845225万元内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hint="eastAsia" w:ascii="黑体" w:hAnsi="黑体" w:eastAsia="黑体"/>
          <w:sz w:val="32"/>
          <w:szCs w:val="32"/>
          <w:lang w:eastAsia="zh-CN"/>
        </w:rPr>
        <w:t>.</w:t>
      </w:r>
      <w:r>
        <w:rPr>
          <w:rFonts w:hint="eastAsia" w:ascii="黑体" w:hAnsi="黑体" w:eastAsia="黑体"/>
          <w:sz w:val="32"/>
          <w:szCs w:val="32"/>
        </w:rPr>
        <w:t>预算绩效开展情况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Arial"/>
          <w:kern w:val="0"/>
          <w:sz w:val="32"/>
          <w:szCs w:val="32"/>
        </w:rPr>
        <w:t>市（县、区）财政部门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/>
          <w:sz w:val="32"/>
          <w:szCs w:val="32"/>
        </w:rPr>
        <w:t>个财政重点支出项目进行了绩效评价，涉及财政资金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118569.59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。其中，绩效等级达到“优”的有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项，达到“良”的有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项，评为“</w:t>
      </w:r>
      <w:r>
        <w:rPr>
          <w:rFonts w:hint="eastAsia" w:ascii="仿宋" w:hAnsi="仿宋" w:eastAsia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项。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ZjAxZDljNjI4Y2Q4ODYyNTBiOWJjYTYzZWQ5MmQifQ=="/>
  </w:docVars>
  <w:rsids>
    <w:rsidRoot w:val="009D34A6"/>
    <w:rsid w:val="000204A3"/>
    <w:rsid w:val="00057A3C"/>
    <w:rsid w:val="00102DF0"/>
    <w:rsid w:val="00313891"/>
    <w:rsid w:val="005775D9"/>
    <w:rsid w:val="00580AD9"/>
    <w:rsid w:val="005D12B2"/>
    <w:rsid w:val="00651375"/>
    <w:rsid w:val="007A0B3E"/>
    <w:rsid w:val="009D34A6"/>
    <w:rsid w:val="00B03E7C"/>
    <w:rsid w:val="00D905AB"/>
    <w:rsid w:val="00E469B6"/>
    <w:rsid w:val="00EE575F"/>
    <w:rsid w:val="00FC6FDA"/>
    <w:rsid w:val="02AF35B9"/>
    <w:rsid w:val="07C43B1D"/>
    <w:rsid w:val="0A4D472E"/>
    <w:rsid w:val="16346D71"/>
    <w:rsid w:val="16F16550"/>
    <w:rsid w:val="1D95048A"/>
    <w:rsid w:val="229A686E"/>
    <w:rsid w:val="2F902696"/>
    <w:rsid w:val="38DF6B9C"/>
    <w:rsid w:val="52757D7E"/>
    <w:rsid w:val="53F65B7E"/>
    <w:rsid w:val="58A108B6"/>
    <w:rsid w:val="597F4587"/>
    <w:rsid w:val="7820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1644</Words>
  <Characters>2091</Characters>
  <Lines>13</Lines>
  <Paragraphs>3</Paragraphs>
  <TotalTime>3</TotalTime>
  <ScaleCrop>false</ScaleCrop>
  <LinksUpToDate>false</LinksUpToDate>
  <CharactersWithSpaces>2091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Administrator</cp:lastModifiedBy>
  <cp:lastPrinted>2023-02-08T08:31:00Z</cp:lastPrinted>
  <dcterms:modified xsi:type="dcterms:W3CDTF">2023-02-08T09:02:25Z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  <property fmtid="{D5CDD505-2E9C-101B-9397-08002B2CF9AE}" pid="3" name="ICV">
    <vt:lpwstr>BB580B2D97254DCEB6D5A6345E8863DB</vt:lpwstr>
  </property>
</Properties>
</file>