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0DB80">
      <w:pPr>
        <w:keepNext w:val="0"/>
        <w:keepLines w:val="0"/>
        <w:widowControl/>
        <w:suppressLineNumbers w:val="0"/>
        <w:shd w:val="clear" w:fill="FFFFFF"/>
        <w:ind w:left="0" w:firstLine="0"/>
        <w:jc w:val="center"/>
        <w:rPr>
          <w:rFonts w:ascii="微软雅黑" w:hAnsi="微软雅黑" w:eastAsia="微软雅黑" w:cs="微软雅黑"/>
          <w:b/>
          <w:bCs/>
          <w:i w:val="0"/>
          <w:iCs w:val="0"/>
          <w:caps w:val="0"/>
          <w:color w:val="000000"/>
          <w:spacing w:val="0"/>
          <w:sz w:val="27"/>
          <w:szCs w:val="27"/>
        </w:rPr>
      </w:pPr>
      <w:bookmarkStart w:id="0" w:name="_GoBack"/>
      <w:bookmarkEnd w:id="0"/>
      <w:r>
        <w:rPr>
          <w:rFonts w:hint="eastAsia" w:ascii="微软雅黑" w:hAnsi="微软雅黑" w:eastAsia="微软雅黑" w:cs="微软雅黑"/>
          <w:b/>
          <w:bCs/>
          <w:i w:val="0"/>
          <w:iCs w:val="0"/>
          <w:caps w:val="0"/>
          <w:color w:val="000000"/>
          <w:spacing w:val="0"/>
          <w:kern w:val="0"/>
          <w:sz w:val="27"/>
          <w:szCs w:val="27"/>
          <w:shd w:val="clear" w:fill="FFFFFF"/>
          <w:lang w:val="en-US" w:eastAsia="zh-CN" w:bidi="ar"/>
        </w:rPr>
        <w:t>晋江市第三医院云资源及安全产品采购项目竞争性磋商采购公告</w:t>
      </w:r>
    </w:p>
    <w:p w14:paraId="3F5A987E">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晋江市第三医院已根据政府采购相关法律法规，经相应程序确定采用竞争性磋商方式组织晋江市第三医院云资源及安全产品采购项目（以下简称：“本项目”）的政府采购活动，现欢迎国内合格的供应商前来参加。本项目由采购人委托泉州市博凯咨询管理有限公司开展竞争性磋商活动。</w:t>
      </w:r>
    </w:p>
    <w:p w14:paraId="580C8073">
      <w:pPr>
        <w:keepNext w:val="0"/>
        <w:keepLines w:val="0"/>
        <w:widowControl/>
        <w:suppressLineNumbers w:val="0"/>
        <w:shd w:val="clear" w:fill="FFFFFF"/>
        <w:spacing w:before="0" w:beforeAutospacing="1" w:after="0" w:afterAutospacing="1" w:line="400" w:lineRule="atLeast"/>
        <w:ind w:left="0" w:right="0" w:firstLine="422"/>
        <w:jc w:val="left"/>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shd w:val="clear" w:fill="FFFFFF"/>
          <w:lang w:val="en-US" w:eastAsia="zh-CN" w:bidi="ar"/>
        </w:rPr>
        <w:t>1.项目名称：</w:t>
      </w:r>
      <w:r>
        <w:rPr>
          <w:rFonts w:hint="eastAsia" w:ascii="微软雅黑" w:hAnsi="微软雅黑" w:eastAsia="微软雅黑" w:cs="微软雅黑"/>
          <w:kern w:val="0"/>
          <w:sz w:val="21"/>
          <w:szCs w:val="21"/>
          <w:shd w:val="clear" w:fill="FFFFFF"/>
          <w:lang w:val="en-US" w:eastAsia="zh-CN" w:bidi="ar"/>
        </w:rPr>
        <w:t>晋江市第三医院云资源及安全产品采购项目</w:t>
      </w:r>
    </w:p>
    <w:p w14:paraId="794A46E8">
      <w:pPr>
        <w:keepNext w:val="0"/>
        <w:keepLines w:val="0"/>
        <w:widowControl/>
        <w:suppressLineNumbers w:val="0"/>
        <w:shd w:val="clear" w:fill="FFFFFF"/>
        <w:spacing w:before="0" w:beforeAutospacing="1" w:after="0" w:afterAutospacing="1" w:line="400" w:lineRule="atLeast"/>
        <w:ind w:left="0" w:right="0" w:firstLine="422"/>
        <w:jc w:val="left"/>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shd w:val="clear" w:fill="FFFFFF"/>
          <w:lang w:val="en-US" w:eastAsia="zh-CN" w:bidi="ar"/>
        </w:rPr>
        <w:t>2.项目编号：</w:t>
      </w:r>
      <w:r>
        <w:rPr>
          <w:rFonts w:hint="eastAsia" w:ascii="微软雅黑" w:hAnsi="微软雅黑" w:eastAsia="微软雅黑" w:cs="微软雅黑"/>
          <w:kern w:val="0"/>
          <w:sz w:val="21"/>
          <w:szCs w:val="21"/>
          <w:shd w:val="clear" w:fill="FFFFFF"/>
          <w:lang w:val="en-US" w:eastAsia="zh-CN" w:bidi="ar"/>
        </w:rPr>
        <w:t>BKCG[350582]2025091</w:t>
      </w:r>
    </w:p>
    <w:p w14:paraId="23011607">
      <w:pPr>
        <w:keepNext w:val="0"/>
        <w:keepLines w:val="0"/>
        <w:widowControl/>
        <w:suppressLineNumbers w:val="0"/>
        <w:shd w:val="clear" w:fill="FFFFFF"/>
        <w:spacing w:before="0" w:beforeAutospacing="1" w:after="0" w:afterAutospacing="1" w:line="400" w:lineRule="atLeast"/>
        <w:ind w:left="0" w:right="0" w:firstLine="422"/>
        <w:jc w:val="left"/>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shd w:val="clear" w:fill="FFFFFF"/>
          <w:lang w:val="en-US" w:eastAsia="zh-CN" w:bidi="ar"/>
        </w:rPr>
        <w:t>3.采购内容及要求：</w:t>
      </w:r>
    </w:p>
    <w:p w14:paraId="748173C7">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采购包1：</w:t>
      </w:r>
    </w:p>
    <w:p w14:paraId="14228FF3">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采购包预算金额（元）：300000.00</w:t>
      </w:r>
    </w:p>
    <w:p w14:paraId="0EC89FBD">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采购包最高限价（元）：300000.00</w:t>
      </w:r>
    </w:p>
    <w:tbl>
      <w:tblPr>
        <w:tblStyle w:val="3"/>
        <w:tblpPr w:leftFromText="180" w:rightFromText="180" w:vertAnchor="text" w:horzAnchor="page" w:tblpX="1036" w:tblpY="1164"/>
        <w:tblOverlap w:val="never"/>
        <w:tblW w:w="606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9"/>
        <w:gridCol w:w="1410"/>
        <w:gridCol w:w="1026"/>
        <w:gridCol w:w="1187"/>
        <w:gridCol w:w="1026"/>
        <w:gridCol w:w="1706"/>
        <w:gridCol w:w="3433"/>
      </w:tblGrid>
      <w:tr w14:paraId="3193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5" w:hRule="atLeast"/>
          <w:jc w:val="center"/>
        </w:trPr>
        <w:tc>
          <w:tcPr>
            <w:tcW w:w="292" w:type="pct"/>
            <w:tcBorders>
              <w:top w:val="single" w:color="000000" w:sz="8" w:space="0"/>
              <w:left w:val="single" w:color="000000" w:sz="8" w:space="0"/>
              <w:bottom w:val="single" w:color="000000" w:sz="8" w:space="0"/>
              <w:right w:val="single" w:color="000000" w:sz="8" w:space="0"/>
            </w:tcBorders>
            <w:shd w:val="clear" w:color="auto" w:fill="FAFAFA"/>
            <w:tcMar>
              <w:left w:w="134" w:type="dxa"/>
              <w:right w:w="134" w:type="dxa"/>
            </w:tcMar>
            <w:vAlign w:val="center"/>
          </w:tcPr>
          <w:p w14:paraId="4B749525">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kern w:val="0"/>
                <w:sz w:val="21"/>
                <w:szCs w:val="21"/>
                <w:shd w:val="clear" w:fill="FFFFFF"/>
                <w:lang w:val="en-US" w:eastAsia="zh-CN" w:bidi="ar"/>
              </w:rPr>
            </w:pPr>
            <w:r>
              <w:rPr>
                <w:rFonts w:hint="eastAsia" w:ascii="微软雅黑" w:hAnsi="微软雅黑" w:eastAsia="微软雅黑" w:cs="微软雅黑"/>
                <w:kern w:val="0"/>
                <w:sz w:val="21"/>
                <w:szCs w:val="21"/>
                <w:shd w:val="clear" w:fill="FFFFFF"/>
                <w:lang w:val="en-US" w:eastAsia="zh-CN" w:bidi="ar"/>
              </w:rPr>
              <w:t>序号</w:t>
            </w:r>
          </w:p>
        </w:tc>
        <w:tc>
          <w:tcPr>
            <w:tcW w:w="678" w:type="pct"/>
            <w:tcBorders>
              <w:top w:val="single" w:color="000000" w:sz="8" w:space="0"/>
              <w:left w:val="nil"/>
              <w:bottom w:val="single" w:color="000000" w:sz="8" w:space="0"/>
              <w:right w:val="single" w:color="000000" w:sz="8" w:space="0"/>
            </w:tcBorders>
            <w:shd w:val="clear" w:color="auto" w:fill="FAFAFA"/>
            <w:tcMar>
              <w:left w:w="134" w:type="dxa"/>
              <w:right w:w="134" w:type="dxa"/>
            </w:tcMar>
            <w:vAlign w:val="center"/>
          </w:tcPr>
          <w:p w14:paraId="23F44157">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kern w:val="0"/>
                <w:sz w:val="21"/>
                <w:szCs w:val="21"/>
                <w:shd w:val="clear" w:fill="FFFFFF"/>
                <w:lang w:val="en-US" w:eastAsia="zh-CN" w:bidi="ar"/>
              </w:rPr>
            </w:pPr>
            <w:r>
              <w:rPr>
                <w:rFonts w:hint="eastAsia" w:ascii="微软雅黑" w:hAnsi="微软雅黑" w:eastAsia="微软雅黑" w:cs="微软雅黑"/>
                <w:kern w:val="0"/>
                <w:sz w:val="21"/>
                <w:szCs w:val="21"/>
                <w:shd w:val="clear" w:fill="FFFFFF"/>
                <w:lang w:val="en-US" w:eastAsia="zh-CN" w:bidi="ar"/>
              </w:rPr>
              <w:t>标的名称</w:t>
            </w:r>
          </w:p>
        </w:tc>
        <w:tc>
          <w:tcPr>
            <w:tcW w:w="493" w:type="pct"/>
            <w:tcBorders>
              <w:top w:val="single" w:color="000000" w:sz="8" w:space="0"/>
              <w:left w:val="nil"/>
              <w:bottom w:val="single" w:color="000000" w:sz="8" w:space="0"/>
              <w:right w:val="single" w:color="000000" w:sz="8" w:space="0"/>
            </w:tcBorders>
            <w:shd w:val="clear" w:color="auto" w:fill="FAFAFA"/>
            <w:tcMar>
              <w:left w:w="134" w:type="dxa"/>
              <w:right w:w="134" w:type="dxa"/>
            </w:tcMar>
            <w:vAlign w:val="center"/>
          </w:tcPr>
          <w:p w14:paraId="3B7B8F81">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kern w:val="0"/>
                <w:sz w:val="21"/>
                <w:szCs w:val="21"/>
                <w:shd w:val="clear" w:fill="FFFFFF"/>
                <w:lang w:val="en-US" w:eastAsia="zh-CN" w:bidi="ar"/>
              </w:rPr>
            </w:pPr>
            <w:r>
              <w:rPr>
                <w:rFonts w:hint="eastAsia" w:ascii="微软雅黑" w:hAnsi="微软雅黑" w:eastAsia="微软雅黑" w:cs="微软雅黑"/>
                <w:kern w:val="0"/>
                <w:sz w:val="21"/>
                <w:szCs w:val="21"/>
                <w:shd w:val="clear" w:fill="FFFFFF"/>
                <w:lang w:val="en-US" w:eastAsia="zh-CN" w:bidi="ar"/>
              </w:rPr>
              <w:t>数量</w:t>
            </w:r>
          </w:p>
        </w:tc>
        <w:tc>
          <w:tcPr>
            <w:tcW w:w="570" w:type="pct"/>
            <w:tcBorders>
              <w:top w:val="single" w:color="000000" w:sz="8" w:space="0"/>
              <w:left w:val="nil"/>
              <w:bottom w:val="single" w:color="000000" w:sz="8" w:space="0"/>
              <w:right w:val="single" w:color="000000" w:sz="8" w:space="0"/>
            </w:tcBorders>
            <w:shd w:val="clear" w:color="auto" w:fill="FAFAFA"/>
            <w:tcMar>
              <w:left w:w="134" w:type="dxa"/>
              <w:right w:w="134" w:type="dxa"/>
            </w:tcMar>
            <w:vAlign w:val="center"/>
          </w:tcPr>
          <w:p w14:paraId="60DCA1B2">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kern w:val="0"/>
                <w:sz w:val="21"/>
                <w:szCs w:val="21"/>
                <w:shd w:val="clear" w:fill="FFFFFF"/>
                <w:lang w:val="en-US" w:eastAsia="zh-CN" w:bidi="ar"/>
              </w:rPr>
            </w:pPr>
            <w:r>
              <w:rPr>
                <w:rFonts w:hint="eastAsia" w:ascii="微软雅黑" w:hAnsi="微软雅黑" w:eastAsia="微软雅黑" w:cs="微软雅黑"/>
                <w:kern w:val="0"/>
                <w:sz w:val="21"/>
                <w:szCs w:val="21"/>
                <w:shd w:val="clear" w:fill="FFFFFF"/>
                <w:lang w:val="en-US" w:eastAsia="zh-CN" w:bidi="ar"/>
              </w:rPr>
              <w:t>标的金额（元）</w:t>
            </w:r>
          </w:p>
        </w:tc>
        <w:tc>
          <w:tcPr>
            <w:tcW w:w="493" w:type="pct"/>
            <w:tcBorders>
              <w:top w:val="single" w:color="000000" w:sz="8" w:space="0"/>
              <w:left w:val="nil"/>
              <w:bottom w:val="single" w:color="000000" w:sz="8" w:space="0"/>
              <w:right w:val="single" w:color="000000" w:sz="8" w:space="0"/>
            </w:tcBorders>
            <w:shd w:val="clear" w:color="auto" w:fill="FAFAFA"/>
            <w:tcMar>
              <w:left w:w="134" w:type="dxa"/>
              <w:right w:w="134" w:type="dxa"/>
            </w:tcMar>
            <w:vAlign w:val="center"/>
          </w:tcPr>
          <w:p w14:paraId="0BC9FA6F">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kern w:val="0"/>
                <w:sz w:val="21"/>
                <w:szCs w:val="21"/>
                <w:shd w:val="clear" w:fill="FFFFFF"/>
                <w:lang w:val="en-US" w:eastAsia="zh-CN" w:bidi="ar"/>
              </w:rPr>
            </w:pPr>
            <w:r>
              <w:rPr>
                <w:rFonts w:hint="eastAsia" w:ascii="微软雅黑" w:hAnsi="微软雅黑" w:eastAsia="微软雅黑" w:cs="微软雅黑"/>
                <w:kern w:val="0"/>
                <w:sz w:val="21"/>
                <w:szCs w:val="21"/>
                <w:shd w:val="clear" w:fill="FFFFFF"/>
                <w:lang w:val="en-US" w:eastAsia="zh-CN" w:bidi="ar"/>
              </w:rPr>
              <w:t>计量单位</w:t>
            </w:r>
          </w:p>
        </w:tc>
        <w:tc>
          <w:tcPr>
            <w:tcW w:w="820" w:type="pct"/>
            <w:tcBorders>
              <w:top w:val="single" w:color="000000" w:sz="8" w:space="0"/>
              <w:left w:val="nil"/>
              <w:bottom w:val="single" w:color="000000" w:sz="8" w:space="0"/>
              <w:right w:val="single" w:color="000000" w:sz="8" w:space="0"/>
            </w:tcBorders>
            <w:shd w:val="clear" w:color="auto" w:fill="FAFAFA"/>
            <w:tcMar>
              <w:left w:w="134" w:type="dxa"/>
              <w:right w:w="134" w:type="dxa"/>
            </w:tcMar>
            <w:vAlign w:val="center"/>
          </w:tcPr>
          <w:p w14:paraId="2928A5D2">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kern w:val="0"/>
                <w:sz w:val="21"/>
                <w:szCs w:val="21"/>
                <w:shd w:val="clear" w:fill="FFFFFF"/>
                <w:lang w:val="en-US" w:eastAsia="zh-CN" w:bidi="ar"/>
              </w:rPr>
            </w:pPr>
            <w:r>
              <w:rPr>
                <w:rFonts w:hint="eastAsia" w:ascii="微软雅黑" w:hAnsi="微软雅黑" w:eastAsia="微软雅黑" w:cs="微软雅黑"/>
                <w:kern w:val="0"/>
                <w:sz w:val="21"/>
                <w:szCs w:val="21"/>
                <w:shd w:val="clear" w:fill="FFFFFF"/>
                <w:lang w:val="en-US" w:eastAsia="zh-CN" w:bidi="ar"/>
              </w:rPr>
              <w:t>所属行业</w:t>
            </w:r>
          </w:p>
        </w:tc>
        <w:tc>
          <w:tcPr>
            <w:tcW w:w="1650" w:type="pct"/>
            <w:tcBorders>
              <w:top w:val="single" w:color="000000" w:sz="8" w:space="0"/>
              <w:left w:val="nil"/>
              <w:bottom w:val="single" w:color="000000" w:sz="8" w:space="0"/>
              <w:right w:val="single" w:color="000000" w:sz="8" w:space="0"/>
            </w:tcBorders>
            <w:shd w:val="clear" w:color="auto" w:fill="FAFAFA"/>
            <w:tcMar>
              <w:left w:w="134" w:type="dxa"/>
              <w:right w:w="134" w:type="dxa"/>
            </w:tcMar>
            <w:vAlign w:val="center"/>
          </w:tcPr>
          <w:p w14:paraId="1A3AE3BB">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kern w:val="0"/>
                <w:sz w:val="21"/>
                <w:szCs w:val="21"/>
                <w:shd w:val="clear" w:fill="FFFFFF"/>
                <w:lang w:val="en-US" w:eastAsia="zh-CN" w:bidi="ar"/>
              </w:rPr>
            </w:pPr>
            <w:r>
              <w:rPr>
                <w:rFonts w:hint="eastAsia" w:ascii="微软雅黑" w:hAnsi="微软雅黑" w:eastAsia="微软雅黑" w:cs="微软雅黑"/>
                <w:kern w:val="0"/>
                <w:sz w:val="21"/>
                <w:szCs w:val="21"/>
                <w:shd w:val="clear" w:fill="FFFFFF"/>
                <w:lang w:val="en-US" w:eastAsia="zh-CN" w:bidi="ar"/>
              </w:rPr>
              <w:t>是否允许进口产品</w:t>
            </w:r>
          </w:p>
        </w:tc>
      </w:tr>
      <w:tr w14:paraId="5371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7" w:hRule="atLeast"/>
          <w:jc w:val="center"/>
        </w:trPr>
        <w:tc>
          <w:tcPr>
            <w:tcW w:w="292" w:type="pct"/>
            <w:tcBorders>
              <w:top w:val="nil"/>
              <w:left w:val="single" w:color="000000" w:sz="8" w:space="0"/>
              <w:bottom w:val="single" w:color="000000" w:sz="8" w:space="0"/>
              <w:right w:val="single" w:color="000000" w:sz="8" w:space="0"/>
            </w:tcBorders>
            <w:shd w:val="clear" w:color="auto" w:fill="auto"/>
            <w:tcMar>
              <w:left w:w="134" w:type="dxa"/>
              <w:right w:w="134" w:type="dxa"/>
            </w:tcMar>
            <w:vAlign w:val="center"/>
          </w:tcPr>
          <w:p w14:paraId="1E6C0265">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1</w:t>
            </w:r>
          </w:p>
        </w:tc>
        <w:tc>
          <w:tcPr>
            <w:tcW w:w="678" w:type="pct"/>
            <w:tcBorders>
              <w:top w:val="nil"/>
              <w:left w:val="nil"/>
              <w:bottom w:val="single" w:color="000000" w:sz="8" w:space="0"/>
              <w:right w:val="single" w:color="000000" w:sz="8" w:space="0"/>
            </w:tcBorders>
            <w:shd w:val="clear" w:color="auto" w:fill="auto"/>
            <w:tcMar>
              <w:left w:w="134" w:type="dxa"/>
              <w:right w:w="134" w:type="dxa"/>
            </w:tcMar>
            <w:vAlign w:val="center"/>
          </w:tcPr>
          <w:p w14:paraId="0ECB8BC9">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云资源及安全产品</w:t>
            </w:r>
          </w:p>
        </w:tc>
        <w:tc>
          <w:tcPr>
            <w:tcW w:w="493" w:type="pct"/>
            <w:tcBorders>
              <w:top w:val="nil"/>
              <w:left w:val="nil"/>
              <w:bottom w:val="single" w:color="000000" w:sz="8" w:space="0"/>
              <w:right w:val="single" w:color="000000" w:sz="8" w:space="0"/>
            </w:tcBorders>
            <w:shd w:val="clear" w:color="auto" w:fill="auto"/>
            <w:tcMar>
              <w:left w:w="134" w:type="dxa"/>
              <w:right w:w="134" w:type="dxa"/>
            </w:tcMar>
            <w:vAlign w:val="center"/>
          </w:tcPr>
          <w:p w14:paraId="68EEDEF2">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1.00</w:t>
            </w:r>
          </w:p>
        </w:tc>
        <w:tc>
          <w:tcPr>
            <w:tcW w:w="570" w:type="pct"/>
            <w:tcBorders>
              <w:top w:val="nil"/>
              <w:left w:val="nil"/>
              <w:bottom w:val="single" w:color="000000" w:sz="8" w:space="0"/>
              <w:right w:val="single" w:color="000000" w:sz="8" w:space="0"/>
            </w:tcBorders>
            <w:shd w:val="clear" w:color="auto" w:fill="auto"/>
            <w:tcMar>
              <w:left w:w="134" w:type="dxa"/>
              <w:right w:w="134" w:type="dxa"/>
            </w:tcMar>
            <w:vAlign w:val="center"/>
          </w:tcPr>
          <w:p w14:paraId="3B9EA927">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300000.00</w:t>
            </w:r>
          </w:p>
        </w:tc>
        <w:tc>
          <w:tcPr>
            <w:tcW w:w="493" w:type="pct"/>
            <w:tcBorders>
              <w:top w:val="nil"/>
              <w:left w:val="nil"/>
              <w:bottom w:val="single" w:color="000000" w:sz="8" w:space="0"/>
              <w:right w:val="single" w:color="000000" w:sz="8" w:space="0"/>
            </w:tcBorders>
            <w:shd w:val="clear" w:color="auto" w:fill="auto"/>
            <w:tcMar>
              <w:left w:w="134" w:type="dxa"/>
              <w:right w:w="134" w:type="dxa"/>
            </w:tcMar>
            <w:vAlign w:val="center"/>
          </w:tcPr>
          <w:p w14:paraId="1EEDA120">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项</w:t>
            </w:r>
          </w:p>
        </w:tc>
        <w:tc>
          <w:tcPr>
            <w:tcW w:w="820" w:type="pct"/>
            <w:tcBorders>
              <w:top w:val="nil"/>
              <w:left w:val="nil"/>
              <w:bottom w:val="single" w:color="000000" w:sz="8" w:space="0"/>
              <w:right w:val="single" w:color="000000" w:sz="8" w:space="0"/>
            </w:tcBorders>
            <w:shd w:val="clear" w:color="auto" w:fill="auto"/>
            <w:tcMar>
              <w:left w:w="134" w:type="dxa"/>
              <w:right w:w="134" w:type="dxa"/>
            </w:tcMar>
            <w:vAlign w:val="center"/>
          </w:tcPr>
          <w:p w14:paraId="393D18F6">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软件和信息技术服务业</w:t>
            </w:r>
          </w:p>
        </w:tc>
        <w:tc>
          <w:tcPr>
            <w:tcW w:w="1650" w:type="pct"/>
            <w:tcBorders>
              <w:top w:val="nil"/>
              <w:left w:val="nil"/>
              <w:bottom w:val="single" w:color="000000" w:sz="8" w:space="0"/>
              <w:right w:val="single" w:color="000000" w:sz="8" w:space="0"/>
            </w:tcBorders>
            <w:shd w:val="clear" w:color="auto" w:fill="auto"/>
            <w:tcMar>
              <w:left w:w="134" w:type="dxa"/>
              <w:right w:w="134" w:type="dxa"/>
            </w:tcMar>
            <w:vAlign w:val="center"/>
          </w:tcPr>
          <w:p w14:paraId="52A7B76C">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否</w:t>
            </w:r>
          </w:p>
        </w:tc>
      </w:tr>
    </w:tbl>
    <w:p w14:paraId="189FB8D4">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采购包保证金金额（元）：5000.00</w:t>
      </w:r>
    </w:p>
    <w:p w14:paraId="7465EE83">
      <w:pPr>
        <w:keepNext w:val="0"/>
        <w:keepLines w:val="0"/>
        <w:widowControl/>
        <w:suppressLineNumbers w:val="0"/>
        <w:shd w:val="clear" w:fill="FFFFFF"/>
        <w:spacing w:before="0" w:beforeAutospacing="1" w:after="0" w:afterAutospacing="1" w:line="400" w:lineRule="atLeast"/>
        <w:ind w:left="0" w:right="0" w:firstLine="422"/>
        <w:jc w:val="left"/>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shd w:val="clear" w:fill="FFFFFF"/>
          <w:lang w:val="en-US" w:eastAsia="zh-CN" w:bidi="ar"/>
        </w:rPr>
        <w:t>4.采购项目需要落实的政府采购政策：</w:t>
      </w:r>
    </w:p>
    <w:p w14:paraId="4D435B59">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进口产品：不适用</w:t>
      </w:r>
    </w:p>
    <w:p w14:paraId="16058FD8">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节能产品：不适用</w:t>
      </w:r>
    </w:p>
    <w:p w14:paraId="01E54E1B">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环境标志产品：不适用</w:t>
      </w:r>
    </w:p>
    <w:p w14:paraId="080AC1FA">
      <w:pPr>
        <w:keepNext w:val="0"/>
        <w:keepLines w:val="0"/>
        <w:widowControl/>
        <w:suppressLineNumbers w:val="0"/>
        <w:shd w:val="clear" w:fill="FFFFFF"/>
        <w:spacing w:before="0" w:beforeAutospacing="1" w:after="0" w:afterAutospacing="1" w:line="400" w:lineRule="atLeast"/>
        <w:ind w:left="0" w:right="0" w:firstLine="422"/>
        <w:jc w:val="left"/>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shd w:val="clear" w:fill="FFFFFF"/>
          <w:lang w:val="en-US" w:eastAsia="zh-CN" w:bidi="ar"/>
        </w:rPr>
        <w:t>促进中小企业发展的相关政策：</w:t>
      </w:r>
    </w:p>
    <w:p w14:paraId="1C753B26">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采购包1：不专门面向中小企业采购</w:t>
      </w:r>
    </w:p>
    <w:p w14:paraId="223346B1">
      <w:pPr>
        <w:keepNext w:val="0"/>
        <w:keepLines w:val="0"/>
        <w:widowControl/>
        <w:suppressLineNumbers w:val="0"/>
        <w:shd w:val="clear" w:fill="FFFFFF"/>
        <w:spacing w:before="0" w:beforeAutospacing="1" w:after="0" w:afterAutospacing="1" w:line="400" w:lineRule="atLeast"/>
        <w:ind w:left="0" w:right="0" w:firstLine="422"/>
        <w:jc w:val="left"/>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shd w:val="clear" w:fill="FFFFFF"/>
          <w:lang w:val="en-US" w:eastAsia="zh-CN" w:bidi="ar"/>
        </w:rPr>
        <w:t>5.供应商的资格要求：</w:t>
      </w:r>
    </w:p>
    <w:p w14:paraId="4EE1E480">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5.1法定条件：符合《中华人民共和国政府采购法》第二十二条第一款规定的条件。</w:t>
      </w:r>
    </w:p>
    <w:p w14:paraId="62572FEA">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5.2特定条件：</w:t>
      </w:r>
    </w:p>
    <w:p w14:paraId="38797019">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采购包1：</w:t>
      </w:r>
    </w:p>
    <w:tbl>
      <w:tblPr>
        <w:tblStyle w:val="3"/>
        <w:tblpPr w:leftFromText="180" w:rightFromText="180" w:vertAnchor="text" w:horzAnchor="page" w:tblpXSpec="center" w:tblpY="942"/>
        <w:tblOverlap w:val="never"/>
        <w:tblW w:w="109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37"/>
        <w:gridCol w:w="9102"/>
      </w:tblGrid>
      <w:tr w14:paraId="0A25FE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1837" w:type="dxa"/>
            <w:tcBorders>
              <w:top w:val="single" w:color="000000" w:sz="8" w:space="0"/>
              <w:left w:val="single" w:color="000000" w:sz="8" w:space="0"/>
              <w:bottom w:val="single" w:color="000000" w:sz="8" w:space="0"/>
              <w:right w:val="single" w:color="000000" w:sz="8" w:space="0"/>
            </w:tcBorders>
            <w:shd w:val="clear" w:color="auto" w:fill="auto"/>
            <w:tcMar>
              <w:left w:w="134" w:type="dxa"/>
              <w:right w:w="134" w:type="dxa"/>
            </w:tcMar>
            <w:vAlign w:val="center"/>
          </w:tcPr>
          <w:p w14:paraId="552CCF05">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资格审查要求概况</w:t>
            </w:r>
          </w:p>
        </w:tc>
        <w:tc>
          <w:tcPr>
            <w:tcW w:w="9102" w:type="dxa"/>
            <w:tcBorders>
              <w:top w:val="single" w:color="000000" w:sz="8" w:space="0"/>
              <w:left w:val="nil"/>
              <w:bottom w:val="single" w:color="000000" w:sz="8" w:space="0"/>
              <w:right w:val="single" w:color="000000" w:sz="8" w:space="0"/>
            </w:tcBorders>
            <w:shd w:val="clear" w:color="auto" w:fill="auto"/>
            <w:tcMar>
              <w:left w:w="134" w:type="dxa"/>
              <w:right w:w="134" w:type="dxa"/>
            </w:tcMar>
            <w:vAlign w:val="center"/>
          </w:tcPr>
          <w:p w14:paraId="3FC29A02">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评审点具体描述</w:t>
            </w:r>
          </w:p>
        </w:tc>
      </w:tr>
      <w:tr w14:paraId="764F82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37" w:type="dxa"/>
            <w:tcBorders>
              <w:top w:val="nil"/>
              <w:left w:val="single" w:color="000000" w:sz="8" w:space="0"/>
              <w:bottom w:val="single" w:color="000000" w:sz="8" w:space="0"/>
              <w:right w:val="single" w:color="000000" w:sz="8" w:space="0"/>
            </w:tcBorders>
            <w:shd w:val="clear" w:color="auto" w:fill="auto"/>
            <w:tcMar>
              <w:left w:w="134" w:type="dxa"/>
              <w:right w:w="134" w:type="dxa"/>
            </w:tcMar>
            <w:vAlign w:val="center"/>
          </w:tcPr>
          <w:p w14:paraId="42E67A09">
            <w:pPr>
              <w:keepNext w:val="0"/>
              <w:keepLines w:val="0"/>
              <w:widowControl/>
              <w:suppressLineNumbers w:val="0"/>
              <w:shd w:val="clear" w:fill="FFFFFF"/>
              <w:spacing w:before="150" w:beforeAutospacing="0" w:after="150" w:afterAutospacing="0" w:line="400" w:lineRule="atLeast"/>
              <w:ind w:left="150" w:right="15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资格承诺函</w:t>
            </w:r>
          </w:p>
        </w:tc>
        <w:tc>
          <w:tcPr>
            <w:tcW w:w="9102" w:type="dxa"/>
            <w:tcBorders>
              <w:top w:val="nil"/>
              <w:left w:val="nil"/>
              <w:bottom w:val="single" w:color="000000" w:sz="8" w:space="0"/>
              <w:right w:val="single" w:color="000000" w:sz="8" w:space="0"/>
            </w:tcBorders>
            <w:shd w:val="clear" w:color="auto" w:fill="auto"/>
            <w:tcMar>
              <w:left w:w="134" w:type="dxa"/>
              <w:right w:w="134" w:type="dxa"/>
            </w:tcMar>
            <w:vAlign w:val="center"/>
          </w:tcPr>
          <w:p w14:paraId="5CDC6F8C">
            <w:pPr>
              <w:keepNext w:val="0"/>
              <w:keepLines w:val="0"/>
              <w:widowControl/>
              <w:suppressLineNumbers w:val="0"/>
              <w:spacing w:before="150" w:beforeAutospacing="0" w:after="150" w:afterAutospacing="0" w:line="400" w:lineRule="atLeast"/>
              <w:ind w:left="150" w:right="15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7894EE1">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5.3是否接受联合体形式的响应磋商：采购包1：不接受</w:t>
      </w:r>
    </w:p>
    <w:p w14:paraId="695E4EC2">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※根据上述资格要求，供应商响应文件中应提交的“资格证明文件”相关规定和资料要求，详见竞争性磋商须知前附表和磋商文件第五章。</w:t>
      </w:r>
    </w:p>
    <w:p w14:paraId="06E58960">
      <w:pPr>
        <w:keepNext w:val="0"/>
        <w:keepLines w:val="0"/>
        <w:widowControl/>
        <w:suppressLineNumbers w:val="0"/>
        <w:shd w:val="clear" w:fill="FFFFFF"/>
        <w:spacing w:before="0" w:beforeAutospacing="1" w:after="0" w:afterAutospacing="1" w:line="400" w:lineRule="atLeast"/>
        <w:ind w:left="0" w:right="0" w:firstLine="422"/>
        <w:jc w:val="left"/>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shd w:val="clear" w:fill="FFFFFF"/>
          <w:lang w:val="en-US" w:eastAsia="zh-CN" w:bidi="ar"/>
        </w:rPr>
        <w:t>6.竞争性磋商文件获取期限：</w:t>
      </w:r>
      <w:r>
        <w:rPr>
          <w:rFonts w:hint="eastAsia" w:ascii="微软雅黑" w:hAnsi="微软雅黑" w:eastAsia="微软雅黑" w:cs="微软雅黑"/>
          <w:kern w:val="0"/>
          <w:sz w:val="21"/>
          <w:szCs w:val="21"/>
          <w:shd w:val="clear" w:fill="FFFFFF"/>
          <w:lang w:val="en-US" w:eastAsia="zh-CN" w:bidi="ar"/>
        </w:rPr>
        <w:t>不少于5个工作日，详见磋商公告或更正公告（若有）。</w:t>
      </w:r>
    </w:p>
    <w:p w14:paraId="58E20F9C">
      <w:pPr>
        <w:keepNext w:val="0"/>
        <w:keepLines w:val="0"/>
        <w:widowControl/>
        <w:suppressLineNumbers w:val="0"/>
        <w:shd w:val="clear" w:fill="FFFFFF"/>
        <w:spacing w:before="0" w:beforeAutospacing="1" w:after="0" w:afterAutospacing="1" w:line="400" w:lineRule="atLeast"/>
        <w:ind w:left="0" w:right="0" w:firstLine="422"/>
        <w:jc w:val="left"/>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shd w:val="clear" w:fill="FFFFFF"/>
          <w:lang w:val="en-US" w:eastAsia="zh-CN" w:bidi="ar"/>
        </w:rPr>
        <w:t>7.获取采购文件时间、地点、方式：</w:t>
      </w:r>
    </w:p>
    <w:p w14:paraId="3B66CFC3">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7.1采购文件的提供期限：2025年11月11至11月18日（工作日），上午8：00-12：00、下午2：30-5：30</w:t>
      </w:r>
    </w:p>
    <w:p w14:paraId="4C46B5C6">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地点：泉州市博凯咨询管理有限公司（丰泽区齐云路80号A梯三楼）。</w:t>
      </w:r>
    </w:p>
    <w:p w14:paraId="48508E9F">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方式：现场或邮寄</w:t>
      </w:r>
    </w:p>
    <w:p w14:paraId="3EB4D447">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若不一致，以更正公告（若有）为准。</w:t>
      </w:r>
    </w:p>
    <w:p w14:paraId="69FFC45E">
      <w:pPr>
        <w:keepNext w:val="0"/>
        <w:keepLines w:val="0"/>
        <w:widowControl/>
        <w:suppressLineNumbers w:val="0"/>
        <w:shd w:val="clear" w:fill="FFFFFF"/>
        <w:spacing w:before="0" w:beforeAutospacing="1" w:after="0" w:afterAutospacing="1" w:line="400" w:lineRule="atLeast"/>
        <w:ind w:left="0" w:right="0" w:firstLine="422"/>
        <w:jc w:val="left"/>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shd w:val="clear" w:fill="FFFFFF"/>
          <w:lang w:val="en-US" w:eastAsia="zh-CN" w:bidi="ar"/>
        </w:rPr>
        <w:t>8.采购文件售价：</w:t>
      </w:r>
      <w:r>
        <w:rPr>
          <w:rFonts w:hint="eastAsia" w:ascii="微软雅黑" w:hAnsi="微软雅黑" w:eastAsia="微软雅黑" w:cs="微软雅黑"/>
          <w:kern w:val="0"/>
          <w:sz w:val="21"/>
          <w:szCs w:val="21"/>
          <w:shd w:val="clear" w:fill="FFFFFF"/>
          <w:lang w:val="en-US" w:eastAsia="zh-CN" w:bidi="ar"/>
        </w:rPr>
        <w:t> 0元。</w:t>
      </w:r>
    </w:p>
    <w:p w14:paraId="4A16B3FB">
      <w:pPr>
        <w:keepNext w:val="0"/>
        <w:keepLines w:val="0"/>
        <w:widowControl/>
        <w:suppressLineNumbers w:val="0"/>
        <w:shd w:val="clear" w:fill="FFFFFF"/>
        <w:spacing w:before="0" w:beforeAutospacing="1" w:after="0" w:afterAutospacing="1" w:line="400" w:lineRule="atLeast"/>
        <w:ind w:left="0" w:right="0" w:firstLine="422"/>
        <w:jc w:val="left"/>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shd w:val="clear" w:fill="FFFFFF"/>
          <w:lang w:val="en-US" w:eastAsia="zh-CN" w:bidi="ar"/>
        </w:rPr>
        <w:t>9.首次响应文件递交截止时间及地点：</w:t>
      </w:r>
    </w:p>
    <w:p w14:paraId="31A89DAF">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截止时间：2025年11月24日下午3：00（北京时间）</w:t>
      </w:r>
    </w:p>
    <w:p w14:paraId="7328A99F">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地点：泉州市博凯咨询管理有限公司（丰泽区齐云路80号A梯三楼博凯）</w:t>
      </w:r>
    </w:p>
    <w:p w14:paraId="0AF59C28">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若不一致，以更正公告（若有）为准。</w:t>
      </w:r>
    </w:p>
    <w:p w14:paraId="399794D9">
      <w:pPr>
        <w:keepNext w:val="0"/>
        <w:keepLines w:val="0"/>
        <w:widowControl/>
        <w:suppressLineNumbers w:val="0"/>
        <w:shd w:val="clear" w:fill="FFFFFF"/>
        <w:spacing w:before="0" w:beforeAutospacing="1" w:after="0" w:afterAutospacing="1" w:line="400" w:lineRule="atLeast"/>
        <w:ind w:left="0" w:right="0" w:firstLine="422"/>
        <w:jc w:val="left"/>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shd w:val="clear" w:fill="FFFFFF"/>
          <w:lang w:val="en-US" w:eastAsia="zh-CN" w:bidi="ar"/>
        </w:rPr>
        <w:t>10.竞争性磋商公告期限：</w:t>
      </w:r>
    </w:p>
    <w:p w14:paraId="6332F262">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自发布媒体（中国招标投标服务平台www.cebpubservice.com、工采通电子招投标交易平台easy-prt.com）最先发布公告之日起3个工作日。</w:t>
      </w:r>
    </w:p>
    <w:p w14:paraId="74DB8193">
      <w:pPr>
        <w:keepNext w:val="0"/>
        <w:keepLines w:val="0"/>
        <w:widowControl/>
        <w:suppressLineNumbers w:val="0"/>
        <w:shd w:val="clear" w:fill="FFFFFF"/>
        <w:spacing w:before="0" w:beforeAutospacing="1" w:after="0" w:afterAutospacing="1" w:line="400" w:lineRule="atLeast"/>
        <w:ind w:left="0" w:right="0" w:firstLine="422"/>
        <w:jc w:val="left"/>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shd w:val="clear" w:fill="FFFFFF"/>
          <w:lang w:val="en-US" w:eastAsia="zh-CN" w:bidi="ar"/>
        </w:rPr>
        <w:t>11.采购人：晋江市第三医院</w:t>
      </w:r>
    </w:p>
    <w:p w14:paraId="078150C8">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地址：晋江市陈埭镇鞋都路</w:t>
      </w:r>
    </w:p>
    <w:p w14:paraId="28EE5078">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邮编：362200</w:t>
      </w:r>
    </w:p>
    <w:p w14:paraId="15318668">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联系人：刘先生</w:t>
      </w:r>
    </w:p>
    <w:p w14:paraId="749AFE5D">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联系方法：0595-86777796 、18702693639</w:t>
      </w:r>
    </w:p>
    <w:p w14:paraId="6C90A1B3">
      <w:pPr>
        <w:keepNext w:val="0"/>
        <w:keepLines w:val="0"/>
        <w:widowControl/>
        <w:suppressLineNumbers w:val="0"/>
        <w:shd w:val="clear" w:fill="FFFFFF"/>
        <w:spacing w:before="0" w:beforeAutospacing="1" w:after="0" w:afterAutospacing="1" w:line="400" w:lineRule="atLeast"/>
        <w:ind w:left="0" w:right="0" w:firstLine="422"/>
        <w:jc w:val="left"/>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shd w:val="clear" w:fill="FFFFFF"/>
          <w:lang w:val="en-US" w:eastAsia="zh-CN" w:bidi="ar"/>
        </w:rPr>
        <w:t>12.代理机构：泉州市博凯咨询管理有限公司</w:t>
      </w:r>
    </w:p>
    <w:p w14:paraId="39088033">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地址：东湖街道仁风工业园齐云路80号</w:t>
      </w:r>
    </w:p>
    <w:p w14:paraId="46D06306">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邮编：362000</w:t>
      </w:r>
    </w:p>
    <w:p w14:paraId="5119F442">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联系人：张伟强、李金樵</w:t>
      </w:r>
    </w:p>
    <w:p w14:paraId="22A454EB">
      <w:pPr>
        <w:keepNext w:val="0"/>
        <w:keepLines w:val="0"/>
        <w:widowControl/>
        <w:suppressLineNumbers w:val="0"/>
        <w:shd w:val="clear" w:fill="FFFFFF"/>
        <w:spacing w:before="0" w:beforeAutospacing="1" w:after="0" w:afterAutospacing="1" w:line="40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shd w:val="clear" w:fill="FFFFFF"/>
          <w:lang w:val="en-US" w:eastAsia="zh-CN" w:bidi="ar"/>
        </w:rPr>
        <w:t>联系电话：059522337637、13505998630</w:t>
      </w:r>
    </w:p>
    <w:p w14:paraId="261296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21D6D"/>
    <w:rsid w:val="0DD21D6D"/>
    <w:rsid w:val="1A693917"/>
    <w:rsid w:val="324F1398"/>
    <w:rsid w:val="423F05CE"/>
    <w:rsid w:val="44676DCB"/>
    <w:rsid w:val="4543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1111</Words>
  <Characters>1294</Characters>
  <Lines>0</Lines>
  <Paragraphs>0</Paragraphs>
  <TotalTime>0</TotalTime>
  <ScaleCrop>false</ScaleCrop>
  <LinksUpToDate>false</LinksUpToDate>
  <CharactersWithSpaces>1296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2025-11-12T08:57:00Z</dcterms:created>
  <dc:creator>李律</dc:creator>
  <cp:lastModifiedBy>螺旋上升</cp:lastModifiedBy>
  <dcterms:modified xsi:type="dcterms:W3CDTF">2025-11-12T09:16:39Z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3A056B2BF6BC4C188622308F5C8D6AD1_13</vt:lpwstr>
  </property>
  <property fmtid="{D5CDD505-2E9C-101B-9397-08002B2CF9AE}" pid="4" name="KSOTemplateDocerSaveRecord">
    <vt:lpwstr>eyJoZGlkIjoiZWJmYzBkMTZlNGUxYzMyNjg1ODdlMTRiYTY1YzljMTYiLCJ1c2VySWQiOiI1NTI0NDA3NzMifQ==</vt:lpwstr>
  </property>
</Properties>
</file>