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F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0"/>
          <w:sz w:val="44"/>
          <w:szCs w:val="44"/>
          <w:lang w:eastAsia="zh-CN"/>
        </w:rPr>
      </w:pPr>
      <w:r>
        <w:rPr>
          <w:rFonts w:hint="eastAsia" w:ascii="方正小标宋简体" w:hAnsi="方正小标宋简体" w:eastAsia="方正小标宋简体" w:cs="方正小标宋简体"/>
          <w:b w:val="0"/>
          <w:bCs/>
          <w:color w:val="auto"/>
          <w:spacing w:val="0"/>
          <w:sz w:val="44"/>
          <w:szCs w:val="44"/>
        </w:rPr>
        <w:t>晋江市安海医院</w:t>
      </w:r>
      <w:r>
        <w:rPr>
          <w:rFonts w:hint="eastAsia" w:ascii="方正小标宋简体" w:hAnsi="方正小标宋简体" w:eastAsia="方正小标宋简体" w:cs="方正小标宋简体"/>
          <w:b w:val="0"/>
          <w:bCs/>
          <w:color w:val="auto"/>
          <w:spacing w:val="0"/>
          <w:sz w:val="44"/>
          <w:szCs w:val="44"/>
          <w:lang w:eastAsia="zh-CN"/>
        </w:rPr>
        <w:t>超声骨刀等医疗设备采购</w:t>
      </w:r>
    </w:p>
    <w:p w14:paraId="10DE77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lang w:eastAsia="zh-CN"/>
        </w:rPr>
        <w:t>意向（市场调研）公告</w:t>
      </w:r>
    </w:p>
    <w:p w14:paraId="580FC574">
      <w:pPr>
        <w:keepNext w:val="0"/>
        <w:keepLines w:val="0"/>
        <w:pageBreakBefore w:val="0"/>
        <w:widowControl w:val="0"/>
        <w:kinsoku/>
        <w:wordWrap/>
        <w:overflowPunct/>
        <w:topLinePunct w:val="0"/>
        <w:autoSpaceDE/>
        <w:autoSpaceDN/>
        <w:bidi w:val="0"/>
        <w:adjustRightInd/>
        <w:snapToGrid/>
        <w:spacing w:line="556" w:lineRule="exact"/>
        <w:ind w:firstLine="560" w:firstLineChars="200"/>
        <w:textAlignment w:val="auto"/>
        <w:rPr>
          <w:rFonts w:hint="default" w:ascii="Times New Roman" w:hAnsi="Times New Roman" w:eastAsia="仿宋_GB2312" w:cs="Times New Roman"/>
          <w:color w:val="auto"/>
          <w:kern w:val="0"/>
          <w:sz w:val="28"/>
          <w:szCs w:val="28"/>
        </w:rPr>
      </w:pPr>
    </w:p>
    <w:p w14:paraId="790DCE3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为提升口腔科、眼科、病理科、皮肤科的诊疗水平，提高检查、治疗的效率和质量，我院计划采购一批医疗设备，包括</w:t>
      </w:r>
      <w:r>
        <w:rPr>
          <w:rFonts w:hint="default" w:ascii="Times New Roman" w:hAnsi="Times New Roman" w:eastAsia="仿宋_GB2312" w:cs="Times New Roman"/>
          <w:color w:val="auto"/>
          <w:kern w:val="0"/>
          <w:sz w:val="32"/>
          <w:szCs w:val="32"/>
        </w:rPr>
        <w:t>超声骨刀（口腔科）1台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生物显微镜（病理科）2台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眼科超声生物显微镜</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UBM</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眼科前节YAG激光治疗仪1台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皮肤（毛发）镜图像处理工作站1台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头皮毛囊工作站1台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半导体激光治疗仪（皮肤科）1台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iPRF离心机（皮肤科）1台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现将本项目采购需求挂网予以公示，征询潜在供应商响应。</w:t>
      </w:r>
    </w:p>
    <w:p w14:paraId="24C6ABC1">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一、询价文件编号：JJSAHYYYLSB［202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060</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-01</w:t>
      </w:r>
    </w:p>
    <w:p w14:paraId="7644A10F">
      <w:pPr>
        <w:keepNext w:val="0"/>
        <w:keepLines w:val="0"/>
        <w:pageBreakBefore w:val="0"/>
        <w:widowControl w:val="0"/>
        <w:shd w:val="clear" w:color="auto" w:fill="FFFFFF"/>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二、询价内容：晋江市安海医院</w:t>
      </w:r>
      <w:r>
        <w:rPr>
          <w:rFonts w:hint="default" w:ascii="Times New Roman" w:hAnsi="Times New Roman" w:eastAsia="仿宋_GB2312" w:cs="Times New Roman"/>
          <w:color w:val="auto"/>
          <w:kern w:val="0"/>
          <w:sz w:val="32"/>
          <w:szCs w:val="32"/>
          <w:lang w:eastAsia="zh-CN"/>
        </w:rPr>
        <w:t>超声骨刀等医疗设备</w:t>
      </w:r>
      <w:r>
        <w:rPr>
          <w:rFonts w:hint="default" w:ascii="Times New Roman" w:hAnsi="Times New Roman" w:eastAsia="仿宋_GB2312" w:cs="Times New Roman"/>
          <w:color w:val="auto"/>
          <w:kern w:val="0"/>
          <w:sz w:val="32"/>
          <w:szCs w:val="32"/>
        </w:rPr>
        <w:t>采购项目</w:t>
      </w:r>
    </w:p>
    <w:p w14:paraId="0E949A3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三、采购方式：</w:t>
      </w:r>
      <w:r>
        <w:rPr>
          <w:rFonts w:hint="default" w:ascii="Times New Roman" w:hAnsi="Times New Roman" w:eastAsia="仿宋_GB2312" w:cs="Times New Roman"/>
          <w:color w:val="auto"/>
          <w:kern w:val="0"/>
          <w:sz w:val="32"/>
          <w:szCs w:val="32"/>
          <w:lang w:eastAsia="zh-CN"/>
        </w:rPr>
        <w:t>公开招标</w:t>
      </w:r>
    </w:p>
    <w:p w14:paraId="5EA783C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四、供应商资格要求：</w:t>
      </w:r>
    </w:p>
    <w:p w14:paraId="5660A7A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1.具有良好的商业信誉和健全的财务会计制度；</w:t>
      </w:r>
    </w:p>
    <w:p w14:paraId="541E252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2.具有履行合同所必需的设备和专业技术能力；</w:t>
      </w:r>
    </w:p>
    <w:p w14:paraId="2012FE7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3.有依法缴纳税收和社会保障资金的良好记录；</w:t>
      </w:r>
    </w:p>
    <w:p w14:paraId="6B6F937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4.参加采购活动前三年内，在经营活动中没有重大违法记录。</w:t>
      </w:r>
    </w:p>
    <w:p w14:paraId="08DE507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default" w:ascii="Times New Roman" w:hAnsi="Times New Roman" w:eastAsia="仿宋_GB2312" w:cs="Times New Roman"/>
          <w:color w:val="auto"/>
          <w:kern w:val="0"/>
          <w:sz w:val="32"/>
          <w:szCs w:val="32"/>
          <w:lang w:eastAsia="zh-CN"/>
        </w:rPr>
        <w:t>医疗器械</w:t>
      </w:r>
      <w:r>
        <w:rPr>
          <w:rFonts w:hint="default" w:ascii="Times New Roman" w:hAnsi="Times New Roman" w:eastAsia="仿宋_GB2312" w:cs="Times New Roman"/>
          <w:color w:val="auto"/>
          <w:kern w:val="0"/>
          <w:sz w:val="32"/>
          <w:szCs w:val="32"/>
        </w:rPr>
        <w:t>项目的特定资格要求：</w:t>
      </w:r>
    </w:p>
    <w:p w14:paraId="494C73F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5.1提供医疗器械生产厂家的医疗器械生产许可证；</w:t>
      </w:r>
    </w:p>
    <w:p w14:paraId="6294613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5.2提供与投标产品相对应的医疗器械经营许可证（或医疗器械经营备案凭证）；</w:t>
      </w:r>
    </w:p>
    <w:p w14:paraId="4C521A8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rPr>
        <w:t>5.3提供医疗器械生产厂家的医疗器械产品注册证（或医疗器械备案凭证）。</w:t>
      </w:r>
    </w:p>
    <w:p w14:paraId="6519CFDE">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五、获取询价文件的方式：下载完整文件后详见附件。</w:t>
      </w:r>
    </w:p>
    <w:p w14:paraId="72453D22">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p>
    <w:p w14:paraId="283D663C">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color w:val="auto"/>
          <w:kern w:val="0"/>
          <w:sz w:val="32"/>
          <w:szCs w:val="32"/>
        </w:rPr>
      </w:pPr>
    </w:p>
    <w:p w14:paraId="119E5D40">
      <w:pPr>
        <w:keepNext w:val="0"/>
        <w:keepLines w:val="0"/>
        <w:pageBreakBefore w:val="0"/>
        <w:widowControl w:val="0"/>
        <w:shd w:val="clear" w:color="auto" w:fill="FFFFFF" w:themeFill="background1"/>
        <w:kinsoku/>
        <w:wordWrap/>
        <w:overflowPunct/>
        <w:topLinePunct w:val="0"/>
        <w:autoSpaceDE/>
        <w:autoSpaceDN/>
        <w:bidi w:val="0"/>
        <w:adjustRightInd/>
        <w:snapToGrid/>
        <w:spacing w:line="556" w:lineRule="exact"/>
        <w:jc w:val="righ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日</w:t>
      </w:r>
    </w:p>
    <w:p w14:paraId="3BB99E72">
      <w:pP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14:paraId="4D8E73DA">
      <w:pPr>
        <w:keepNext w:val="0"/>
        <w:keepLines w:val="0"/>
        <w:pageBreakBefore w:val="0"/>
        <w:widowControl w:val="0"/>
        <w:shd w:val="clear" w:color="auto" w:fill="FFFFFF" w:themeFill="background1"/>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w:t>
      </w:r>
    </w:p>
    <w:p w14:paraId="507E3EF6">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方正小标宋简体" w:cs="Times New Roman"/>
          <w:color w:val="auto"/>
          <w:kern w:val="0"/>
          <w:sz w:val="32"/>
          <w:szCs w:val="32"/>
        </w:rPr>
        <w:t>晋江市安海医院</w:t>
      </w:r>
      <w:r>
        <w:rPr>
          <w:rFonts w:hint="default" w:ascii="Times New Roman" w:hAnsi="Times New Roman" w:eastAsia="方正小标宋简体" w:cs="Times New Roman"/>
          <w:color w:val="auto"/>
          <w:kern w:val="0"/>
          <w:sz w:val="32"/>
          <w:szCs w:val="32"/>
          <w:lang w:eastAsia="zh-CN"/>
        </w:rPr>
        <w:t>超声骨刀等医疗设备</w:t>
      </w:r>
      <w:r>
        <w:rPr>
          <w:rFonts w:hint="default" w:ascii="Times New Roman" w:hAnsi="Times New Roman" w:eastAsia="方正小标宋简体" w:cs="Times New Roman"/>
          <w:color w:val="auto"/>
          <w:kern w:val="0"/>
          <w:sz w:val="32"/>
          <w:szCs w:val="32"/>
        </w:rPr>
        <w:t>采购项目</w:t>
      </w:r>
    </w:p>
    <w:p w14:paraId="2893D950">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JJSAHYYYLSB［202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060</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-01</w:t>
      </w:r>
    </w:p>
    <w:p w14:paraId="09511872">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rPr>
      </w:pPr>
    </w:p>
    <w:p w14:paraId="46215867">
      <w:pPr>
        <w:keepNext w:val="0"/>
        <w:keepLines w:val="0"/>
        <w:pageBreakBefore w:val="0"/>
        <w:widowControl w:val="0"/>
        <w:shd w:val="clear" w:color="auto" w:fill="FFFFFF"/>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一、项目名称：晋江市安海医院</w:t>
      </w:r>
      <w:r>
        <w:rPr>
          <w:rFonts w:hint="default" w:ascii="Times New Roman" w:hAnsi="Times New Roman" w:eastAsia="仿宋_GB2312" w:cs="Times New Roman"/>
          <w:color w:val="auto"/>
          <w:kern w:val="0"/>
          <w:sz w:val="30"/>
          <w:szCs w:val="30"/>
          <w:lang w:eastAsia="zh-CN"/>
        </w:rPr>
        <w:t>超声骨刀等医疗设备</w:t>
      </w:r>
      <w:r>
        <w:rPr>
          <w:rFonts w:hint="default" w:ascii="Times New Roman" w:hAnsi="Times New Roman" w:eastAsia="仿宋_GB2312" w:cs="Times New Roman"/>
          <w:color w:val="auto"/>
          <w:kern w:val="0"/>
          <w:sz w:val="30"/>
          <w:szCs w:val="30"/>
        </w:rPr>
        <w:t>采购项目</w:t>
      </w:r>
    </w:p>
    <w:p w14:paraId="3DDFE8A2">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二、设备参数（供参考）：</w:t>
      </w:r>
    </w:p>
    <w:p w14:paraId="26CCB31A">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（一）</w:t>
      </w:r>
      <w:r>
        <w:rPr>
          <w:rFonts w:hint="default" w:ascii="Times New Roman" w:hAnsi="Times New Roman" w:eastAsia="仿宋_GB2312" w:cs="Times New Roman"/>
          <w:color w:val="auto"/>
          <w:kern w:val="0"/>
          <w:sz w:val="30"/>
          <w:szCs w:val="30"/>
        </w:rPr>
        <w:t>超声骨刀（口腔科）1台</w:t>
      </w:r>
    </w:p>
    <w:p w14:paraId="60CDE351">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1.频率与振动模式</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color w:val="auto"/>
          <w:kern w:val="0"/>
          <w:sz w:val="30"/>
          <w:szCs w:val="30"/>
          <w:lang w:val="en-US" w:eastAsia="zh-CN"/>
        </w:rPr>
        <w:t>25-45kHz可调频，振幅范围30-100μm适应不同骨密度（皮质骨需高频低振幅，松质骨需低频高振幅）</w:t>
      </w:r>
      <w:r>
        <w:rPr>
          <w:rFonts w:hint="eastAsia" w:ascii="Times New Roman" w:hAnsi="Times New Roman" w:eastAsia="仿宋_GB2312" w:cs="Times New Roman"/>
          <w:color w:val="auto"/>
          <w:kern w:val="0"/>
          <w:sz w:val="30"/>
          <w:szCs w:val="30"/>
          <w:lang w:val="en-US" w:eastAsia="zh-CN"/>
        </w:rPr>
        <w:t>；</w:t>
      </w:r>
    </w:p>
    <w:p w14:paraId="6ECB742E">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2.输出功率</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color w:val="auto"/>
          <w:kern w:val="0"/>
          <w:sz w:val="30"/>
          <w:szCs w:val="30"/>
          <w:lang w:val="en-US" w:eastAsia="zh-CN"/>
        </w:rPr>
        <w:t>最大功率≥50W，连续工作时间＞4h</w:t>
      </w:r>
      <w:r>
        <w:rPr>
          <w:rFonts w:hint="eastAsia" w:ascii="Times New Roman" w:hAnsi="Times New Roman" w:eastAsia="仿宋_GB2312" w:cs="Times New Roman"/>
          <w:color w:val="auto"/>
          <w:kern w:val="0"/>
          <w:sz w:val="30"/>
          <w:szCs w:val="30"/>
          <w:lang w:val="en-US" w:eastAsia="zh-CN"/>
        </w:rPr>
        <w:t>；</w:t>
      </w:r>
    </w:p>
    <w:p w14:paraId="2D8E8E55">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3.切割精度轴向振动偏差＜±0.2mm，径向跳动量＜10μm</w:t>
      </w:r>
      <w:r>
        <w:rPr>
          <w:rFonts w:hint="eastAsia" w:ascii="Times New Roman" w:hAnsi="Times New Roman" w:eastAsia="仿宋_GB2312" w:cs="Times New Roman"/>
          <w:color w:val="auto"/>
          <w:kern w:val="0"/>
          <w:sz w:val="30"/>
          <w:szCs w:val="30"/>
          <w:lang w:val="en-US" w:eastAsia="zh-CN"/>
        </w:rPr>
        <w:t>；</w:t>
      </w:r>
    </w:p>
    <w:p w14:paraId="74C28A6C">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4.温度控制</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color w:val="auto"/>
          <w:kern w:val="0"/>
          <w:sz w:val="30"/>
          <w:szCs w:val="30"/>
          <w:lang w:val="en-US" w:eastAsia="zh-CN"/>
        </w:rPr>
        <w:t>切割区实时温度监测，配合内置冷却系统，骨温≤42℃</w:t>
      </w:r>
      <w:r>
        <w:rPr>
          <w:rFonts w:hint="eastAsia" w:ascii="Times New Roman" w:hAnsi="Times New Roman" w:eastAsia="仿宋_GB2312" w:cs="Times New Roman"/>
          <w:color w:val="auto"/>
          <w:kern w:val="0"/>
          <w:sz w:val="30"/>
          <w:szCs w:val="30"/>
          <w:lang w:val="en-US" w:eastAsia="zh-CN"/>
        </w:rPr>
        <w:t>；</w:t>
      </w:r>
    </w:p>
    <w:p w14:paraId="1194EF94">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5.智能反馈系统</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color w:val="auto"/>
          <w:kern w:val="0"/>
          <w:sz w:val="30"/>
          <w:szCs w:val="30"/>
          <w:lang w:val="en-US" w:eastAsia="zh-CN"/>
        </w:rPr>
        <w:t>阻抗监测精度±5Ω，响应时间＜0.1s</w:t>
      </w:r>
      <w:r>
        <w:rPr>
          <w:rFonts w:hint="eastAsia" w:ascii="Times New Roman" w:hAnsi="Times New Roman" w:eastAsia="仿宋_GB2312" w:cs="Times New Roman"/>
          <w:color w:val="auto"/>
          <w:kern w:val="0"/>
          <w:sz w:val="30"/>
          <w:szCs w:val="30"/>
          <w:lang w:val="en-US" w:eastAsia="zh-CN"/>
        </w:rPr>
        <w:t>；</w:t>
      </w:r>
    </w:p>
    <w:p w14:paraId="4321269F">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6.刀头兼容性支持0.5-3.0mm多种规格（直/弯/球型），最大扭力≥0.3N·m</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color w:val="auto"/>
          <w:kern w:val="0"/>
          <w:sz w:val="30"/>
          <w:szCs w:val="30"/>
          <w:lang w:val="en-US" w:eastAsia="zh-CN"/>
        </w:rPr>
        <w:t>配置：主机系统、刀头组件、冷却系统、安全系统等</w:t>
      </w:r>
      <w:r>
        <w:rPr>
          <w:rFonts w:hint="eastAsia" w:ascii="Times New Roman" w:hAnsi="Times New Roman" w:eastAsia="仿宋_GB2312" w:cs="Times New Roman"/>
          <w:color w:val="auto"/>
          <w:kern w:val="0"/>
          <w:sz w:val="30"/>
          <w:szCs w:val="30"/>
          <w:lang w:val="en-US" w:eastAsia="zh-CN"/>
        </w:rPr>
        <w:t>；</w:t>
      </w:r>
    </w:p>
    <w:p w14:paraId="41C1FFC8">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eastAsia" w:ascii="Times New Roman" w:hAnsi="Times New Roman"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lang w:val="en-US" w:eastAsia="zh-CN"/>
        </w:rPr>
        <w:t>.预算控制价：20万元/台。</w:t>
      </w:r>
    </w:p>
    <w:p w14:paraId="37FF77BD">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（二）</w:t>
      </w:r>
      <w:r>
        <w:rPr>
          <w:rFonts w:hint="default" w:ascii="Times New Roman" w:hAnsi="Times New Roman" w:eastAsia="仿宋_GB2312" w:cs="Times New Roman"/>
          <w:color w:val="auto"/>
          <w:kern w:val="0"/>
          <w:sz w:val="30"/>
          <w:szCs w:val="30"/>
        </w:rPr>
        <w:t>生物显微镜（病理科）2台</w:t>
      </w:r>
    </w:p>
    <w:p w14:paraId="5C44202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1.目镜可调节</w:t>
      </w:r>
      <w:r>
        <w:rPr>
          <w:rFonts w:hint="eastAsia" w:ascii="Times New Roman" w:hAnsi="Times New Roman" w:eastAsia="仿宋_GB2312" w:cs="Times New Roman"/>
          <w:color w:val="auto"/>
          <w:sz w:val="30"/>
          <w:szCs w:val="30"/>
          <w:lang w:eastAsia="zh-CN"/>
        </w:rPr>
        <w:t>；</w:t>
      </w:r>
    </w:p>
    <w:p w14:paraId="483B44AB">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2.物镜平场消色差，配</w:t>
      </w:r>
      <w:bookmarkStart w:id="0" w:name="OLE_LINK25"/>
      <w:bookmarkStart w:id="1" w:name="OLE_LINK26"/>
      <w:r>
        <w:rPr>
          <w:rFonts w:hint="default" w:ascii="Times New Roman" w:hAnsi="Times New Roman" w:eastAsia="仿宋_GB2312" w:cs="Times New Roman"/>
          <w:color w:val="auto"/>
          <w:sz w:val="30"/>
          <w:szCs w:val="30"/>
        </w:rPr>
        <w:t>4×、</w:t>
      </w:r>
      <w:bookmarkEnd w:id="0"/>
      <w:bookmarkEnd w:id="1"/>
      <w:r>
        <w:rPr>
          <w:rFonts w:hint="default" w:ascii="Times New Roman" w:hAnsi="Times New Roman" w:eastAsia="仿宋_GB2312" w:cs="Times New Roman"/>
          <w:color w:val="auto"/>
          <w:sz w:val="30"/>
          <w:szCs w:val="30"/>
        </w:rPr>
        <w:t>10×、20×、40×倍镜头</w:t>
      </w:r>
      <w:r>
        <w:rPr>
          <w:rFonts w:hint="eastAsia" w:ascii="Times New Roman" w:hAnsi="Times New Roman" w:eastAsia="仿宋_GB2312" w:cs="Times New Roman"/>
          <w:color w:val="auto"/>
          <w:sz w:val="30"/>
          <w:szCs w:val="30"/>
          <w:lang w:eastAsia="zh-CN"/>
        </w:rPr>
        <w:t>；</w:t>
      </w:r>
    </w:p>
    <w:p w14:paraId="48617FB6">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3.带摄像头，与病理报告系统适配</w:t>
      </w:r>
      <w:r>
        <w:rPr>
          <w:rFonts w:hint="eastAsia" w:ascii="Times New Roman" w:hAnsi="Times New Roman" w:eastAsia="仿宋_GB2312" w:cs="Times New Roman"/>
          <w:color w:val="auto"/>
          <w:sz w:val="30"/>
          <w:szCs w:val="30"/>
          <w:lang w:eastAsia="zh-CN"/>
        </w:rPr>
        <w:t>；</w:t>
      </w:r>
    </w:p>
    <w:p w14:paraId="15A95AA9">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4.预算控制价：15万元/台。</w:t>
      </w:r>
    </w:p>
    <w:p w14:paraId="60F81E73">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（三）</w:t>
      </w:r>
      <w:r>
        <w:rPr>
          <w:rFonts w:hint="default" w:ascii="Times New Roman" w:hAnsi="Times New Roman" w:eastAsia="仿宋_GB2312" w:cs="Times New Roman"/>
          <w:color w:val="auto"/>
          <w:kern w:val="0"/>
          <w:sz w:val="30"/>
          <w:szCs w:val="30"/>
        </w:rPr>
        <w:t>眼科超声生物显微镜</w:t>
      </w:r>
      <w:r>
        <w:rPr>
          <w:rFonts w:hint="eastAsia"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UBM</w:t>
      </w:r>
      <w:r>
        <w:rPr>
          <w:rFonts w:hint="eastAsia"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1台</w:t>
      </w:r>
    </w:p>
    <w:p w14:paraId="0513AEF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1.超声工作频率：50MHz；</w:t>
      </w:r>
    </w:p>
    <w:p w14:paraId="2FB1FB11">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2.增益：≥105 dB；</w:t>
      </w:r>
    </w:p>
    <w:p w14:paraId="1A6672C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3.数字扫描变换器（DSC）容量：≥1024</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5768 bit</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100幅；</w:t>
      </w:r>
    </w:p>
    <w:p w14:paraId="1781DFB1">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4.灰阶：≥256 级；</w:t>
      </w:r>
    </w:p>
    <w:p w14:paraId="71271DB6">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5.显示窗口（宽</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深）：不小于≥8mm</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5mm（近景模式）、不小于≥12mm</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7mm（中景模式）、不小于≥17mm</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10.5mm（全景模式）可选择；</w:t>
      </w:r>
    </w:p>
    <w:p w14:paraId="0901D6A4">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6.显示延迟深度：近景显示时，延迟深度6mm；中景显示时，延迟深度4.5mm；全景显示时，延迟深度3mm；</w:t>
      </w:r>
    </w:p>
    <w:p w14:paraId="0A13855D">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7.显示方式</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B 模式；</w:t>
      </w:r>
    </w:p>
    <w:p w14:paraId="3608211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8.具备中文操作系统；</w:t>
      </w:r>
    </w:p>
    <w:p w14:paraId="106143F8">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9.角膜保护功能（距角膜4mm报警提示，3mm时探头停止）；</w:t>
      </w:r>
    </w:p>
    <w:p w14:paraId="6A1C21A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10.影像区聚焦区域提示功能</w:t>
      </w:r>
      <w:r>
        <w:rPr>
          <w:rFonts w:hint="default" w:ascii="Times New Roman" w:hAnsi="Times New Roman" w:eastAsia="仿宋_GB2312" w:cs="Times New Roman"/>
          <w:color w:val="auto"/>
          <w:sz w:val="30"/>
          <w:szCs w:val="30"/>
          <w:lang w:eastAsia="zh-CN"/>
        </w:rPr>
        <w:t>；</w:t>
      </w:r>
    </w:p>
    <w:p w14:paraId="6F918517">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11.</w:t>
      </w:r>
      <w:r>
        <w:rPr>
          <w:rFonts w:hint="default" w:ascii="Times New Roman" w:hAnsi="Times New Roman" w:eastAsia="仿宋_GB2312" w:cs="Times New Roman"/>
          <w:color w:val="auto"/>
          <w:kern w:val="0"/>
          <w:sz w:val="30"/>
          <w:szCs w:val="30"/>
        </w:rPr>
        <w:t>预算</w:t>
      </w:r>
      <w:r>
        <w:rPr>
          <w:rFonts w:hint="default" w:ascii="Times New Roman" w:hAnsi="Times New Roman" w:eastAsia="仿宋_GB2312" w:cs="Times New Roman"/>
          <w:color w:val="auto"/>
          <w:kern w:val="0"/>
          <w:sz w:val="30"/>
          <w:szCs w:val="30"/>
          <w:lang w:eastAsia="zh-CN"/>
        </w:rPr>
        <w:t>控制价：</w:t>
      </w:r>
      <w:r>
        <w:rPr>
          <w:rFonts w:hint="default" w:ascii="Times New Roman" w:hAnsi="Times New Roman" w:eastAsia="仿宋_GB2312" w:cs="Times New Roman"/>
          <w:color w:val="auto"/>
          <w:kern w:val="0"/>
          <w:sz w:val="30"/>
          <w:szCs w:val="30"/>
        </w:rPr>
        <w:t>42万元</w:t>
      </w:r>
      <w:r>
        <w:rPr>
          <w:rFonts w:hint="default" w:ascii="Times New Roman" w:hAnsi="Times New Roman" w:eastAsia="仿宋_GB2312" w:cs="Times New Roman"/>
          <w:color w:val="auto"/>
          <w:kern w:val="0"/>
          <w:sz w:val="30"/>
          <w:szCs w:val="30"/>
          <w:lang w:val="en-US" w:eastAsia="zh-CN"/>
        </w:rPr>
        <w:t>/台。</w:t>
      </w:r>
    </w:p>
    <w:p w14:paraId="0DA4E675">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（四）</w:t>
      </w:r>
      <w:r>
        <w:rPr>
          <w:rFonts w:hint="default" w:ascii="Times New Roman" w:hAnsi="Times New Roman" w:eastAsia="仿宋_GB2312" w:cs="Times New Roman"/>
          <w:color w:val="auto"/>
          <w:kern w:val="0"/>
          <w:sz w:val="30"/>
          <w:szCs w:val="30"/>
        </w:rPr>
        <w:t>眼科前节YAG激光治疗仪1台</w:t>
      </w:r>
    </w:p>
    <w:p w14:paraId="43E7773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1.激光波长：1064 nm±5 nm；</w:t>
      </w:r>
    </w:p>
    <w:p w14:paraId="4F20F1C6">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2.激光模式：多模；激光脉冲输出方式：单脉冲、双脉冲和3脉冲；</w:t>
      </w:r>
    </w:p>
    <w:p w14:paraId="5EFE421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激光脉冲宽度：4.5ns，允差±10%；</w:t>
      </w:r>
    </w:p>
    <w:p w14:paraId="2D0472E6">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激光脉冲序列脉冲间隔时间：双脉冲和3脉冲的脉冲间隔时间≤40μs；</w:t>
      </w:r>
    </w:p>
    <w:p w14:paraId="7B638C7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激光脉冲序列的最大可发射重复频率：2.5Hz，允许偏差±20%；</w:t>
      </w:r>
    </w:p>
    <w:p w14:paraId="3C8591A4">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6.激光输出能量复现性：RP ≤±10 % ；</w:t>
      </w:r>
    </w:p>
    <w:p w14:paraId="6614A78C">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7.激光光束汇聚角：18°，允许偏差±20%；</w:t>
      </w:r>
    </w:p>
    <w:p w14:paraId="51EE534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8.焦平面光斑直径：30μm，允许偏差±20%；</w:t>
      </w:r>
    </w:p>
    <w:p w14:paraId="7A7F5E9D">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9.瞄准激光波长：630 nm～655 nm；</w:t>
      </w:r>
    </w:p>
    <w:p w14:paraId="360EE71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10.瞄准激光的输出功率PC：≤0.4 mW</w:t>
      </w:r>
      <w:r>
        <w:rPr>
          <w:rFonts w:hint="eastAsia" w:ascii="Times New Roman" w:hAnsi="Times New Roman" w:eastAsia="仿宋_GB2312" w:cs="Times New Roman"/>
          <w:color w:val="auto"/>
          <w:sz w:val="30"/>
          <w:szCs w:val="30"/>
          <w:lang w:eastAsia="zh-CN"/>
        </w:rPr>
        <w:t>；</w:t>
      </w:r>
    </w:p>
    <w:p w14:paraId="7E1A62CC">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11.预算控制价：25万元/台。</w:t>
      </w:r>
    </w:p>
    <w:p w14:paraId="403E6D0B">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（五）</w:t>
      </w:r>
      <w:r>
        <w:rPr>
          <w:rFonts w:hint="default" w:ascii="Times New Roman" w:hAnsi="Times New Roman" w:eastAsia="仿宋_GB2312" w:cs="Times New Roman"/>
          <w:color w:val="auto"/>
          <w:kern w:val="0"/>
          <w:sz w:val="30"/>
          <w:szCs w:val="30"/>
        </w:rPr>
        <w:t>皮肤（毛发）镜图像处理工作站1台</w:t>
      </w:r>
    </w:p>
    <w:p w14:paraId="2EEAB55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1.毛发镜图像采集方法：非偏振光法、偏振光法和浸润法，三种方法一体式镜头采 集，不需更换镜头；</w:t>
      </w:r>
    </w:p>
    <w:p w14:paraId="071E2C65">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2.倍率：10-200x光学连续放大，无需更换镜头；</w:t>
      </w:r>
    </w:p>
    <w:p w14:paraId="76C072A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3.对焦方式：支持自动对焦和手动对焦；</w:t>
      </w:r>
    </w:p>
    <w:p w14:paraId="0DFAA2FF">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4.偏振切换模式：一键切换， 不需要手动旋转；</w:t>
      </w:r>
    </w:p>
    <w:p w14:paraId="7787F70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5.镜头分辨率：≥114线对/mm；</w:t>
      </w:r>
    </w:p>
    <w:p w14:paraId="64566485">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6.倍率误差 ≤±0.1%；</w:t>
      </w:r>
    </w:p>
    <w:p w14:paraId="039AC15E">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7.图像采集分辨率 3840</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2160p</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60fps；</w:t>
      </w:r>
    </w:p>
    <w:p w14:paraId="4A10AD03">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8.图像采集方式</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实时采集，方式≥2种：手柄采集、电脑操控；</w:t>
      </w:r>
    </w:p>
    <w:p w14:paraId="7B6F050E">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9.信息录入</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支持新建、导入病历、身份证，医保卡采集；</w:t>
      </w:r>
    </w:p>
    <w:p w14:paraId="5525611F">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10.测量工具：直线、曲线、角度、面积、矩形、多边形、十字线、直尺；</w:t>
      </w:r>
    </w:p>
    <w:p w14:paraId="7D815BC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11.毛发分析功能</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自动统计毛发数量、密度，根据放大倍数，自动测算面积，可观察头皮血管状况；</w:t>
      </w:r>
    </w:p>
    <w:p w14:paraId="2107EF7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12.扩展功能</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可升级与HIS连接，与采购人HIS系统连接，可升级远程共享，可升级与其他影像设备联机；</w:t>
      </w:r>
    </w:p>
    <w:p w14:paraId="3BB9F775">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13.分析方法</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研究用</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支持ABCD法、七分法，Menzies</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CASH</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模式法，AI智能评估。</w:t>
      </w:r>
    </w:p>
    <w:p w14:paraId="36CF8467">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14.预算控制价：30万元/台。</w:t>
      </w:r>
    </w:p>
    <w:p w14:paraId="55D69480">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（六）</w:t>
      </w:r>
      <w:r>
        <w:rPr>
          <w:rFonts w:hint="default" w:ascii="Times New Roman" w:hAnsi="Times New Roman" w:eastAsia="仿宋_GB2312" w:cs="Times New Roman"/>
          <w:color w:val="auto"/>
          <w:kern w:val="0"/>
          <w:sz w:val="30"/>
          <w:szCs w:val="30"/>
        </w:rPr>
        <w:t>头皮毛囊工作站1台</w:t>
      </w:r>
    </w:p>
    <w:p w14:paraId="28AA70F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rPr>
        <w:t>纳米毛囊清洁仪：</w:t>
      </w:r>
    </w:p>
    <w:p w14:paraId="12AF69DB">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功率：350W；</w:t>
      </w:r>
    </w:p>
    <w:p w14:paraId="45C5F81D">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电压：220V；</w:t>
      </w:r>
    </w:p>
    <w:p w14:paraId="625C4E2F">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功能效果：头皮/毛囊清洁、均衡头皮出油、修复头皮、按摩效果；</w:t>
      </w:r>
    </w:p>
    <w:p w14:paraId="47E083F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耗水量：≤3L/min。</w:t>
      </w:r>
    </w:p>
    <w:p w14:paraId="7F488C9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碳酸泉养护仪：</w:t>
      </w:r>
    </w:p>
    <w:p w14:paraId="3A95F8D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功率：6W；</w:t>
      </w:r>
    </w:p>
    <w:p w14:paraId="1F29067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电压：220V；</w:t>
      </w:r>
    </w:p>
    <w:p w14:paraId="203FAA4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供水水压：0.15MPa--&gt;0.8MPa；</w:t>
      </w:r>
    </w:p>
    <w:p w14:paraId="05E212D5">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供水温度：20℃-42℃；</w:t>
      </w:r>
    </w:p>
    <w:p w14:paraId="612AB9C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耗水量：3-8L/min；</w:t>
      </w:r>
    </w:p>
    <w:p w14:paraId="0F753048">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二氧化碳供给压力：0.25MPa---&gt;0.35MPa；</w:t>
      </w:r>
    </w:p>
    <w:p w14:paraId="10B6FBC8">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二氧化碳气体出口浓度：2000ppm以上。</w:t>
      </w:r>
    </w:p>
    <w:p w14:paraId="2AC4DC12">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3.预算控制价：16万元/台。</w:t>
      </w:r>
    </w:p>
    <w:p w14:paraId="3ABB5BB7">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（七）</w:t>
      </w:r>
      <w:r>
        <w:rPr>
          <w:rFonts w:hint="default" w:ascii="Times New Roman" w:hAnsi="Times New Roman" w:eastAsia="仿宋_GB2312" w:cs="Times New Roman"/>
          <w:color w:val="auto"/>
          <w:kern w:val="0"/>
          <w:sz w:val="30"/>
          <w:szCs w:val="30"/>
        </w:rPr>
        <w:t>半导体激光治疗仪（皮肤科）1台</w:t>
      </w:r>
    </w:p>
    <w:p w14:paraId="6DC82004">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1.光源：半导体激光光源；</w:t>
      </w:r>
    </w:p>
    <w:p w14:paraId="00E5E3B3">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2.波长：激光波长≥655nm；</w:t>
      </w:r>
    </w:p>
    <w:p w14:paraId="3EC519D3">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3.有效辐照面积：800cm²</w:t>
      </w:r>
      <w:r>
        <w:rPr>
          <w:rFonts w:hint="default" w:ascii="Times New Roman" w:hAnsi="Times New Roman" w:eastAsia="方正小标宋简体" w:cs="Times New Roman"/>
          <w:color w:val="auto"/>
          <w:sz w:val="30"/>
          <w:szCs w:val="30"/>
        </w:rPr>
        <w:t>±</w:t>
      </w:r>
      <w:r>
        <w:rPr>
          <w:rFonts w:hint="default" w:ascii="Times New Roman" w:hAnsi="Times New Roman" w:eastAsia="仿宋_GB2312" w:cs="Times New Roman"/>
          <w:color w:val="auto"/>
          <w:sz w:val="30"/>
          <w:szCs w:val="30"/>
        </w:rPr>
        <w:t>10%；</w:t>
      </w:r>
    </w:p>
    <w:p w14:paraId="46687D11">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4.治疗模式：持续、脉冲照射治疗可选；</w:t>
      </w:r>
    </w:p>
    <w:p w14:paraId="23D9D020">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5.输出光功率：光功率2340mW（输出</w:t>
      </w:r>
      <w:bookmarkStart w:id="2" w:name="OLE_LINK35"/>
      <w:r>
        <w:rPr>
          <w:rFonts w:hint="default" w:ascii="Times New Roman" w:hAnsi="Times New Roman" w:eastAsia="仿宋_GB2312" w:cs="Times New Roman"/>
          <w:color w:val="auto"/>
          <w:sz w:val="30"/>
          <w:szCs w:val="30"/>
        </w:rPr>
        <w:t>≤</w:t>
      </w:r>
      <w:bookmarkEnd w:id="2"/>
      <w:r>
        <w:rPr>
          <w:rFonts w:hint="default" w:ascii="Times New Roman" w:hAnsi="Times New Roman" w:eastAsia="仿宋_GB2312" w:cs="Times New Roman"/>
          <w:color w:val="auto"/>
          <w:sz w:val="30"/>
          <w:szCs w:val="30"/>
        </w:rPr>
        <w:t>5mW）；</w:t>
      </w:r>
    </w:p>
    <w:p w14:paraId="4A17E6D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6.治疗时间：5±1～100±1min可调；</w:t>
      </w:r>
    </w:p>
    <w:p w14:paraId="05532A5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7.操作面板：触摸屏、液晶显示；</w:t>
      </w:r>
    </w:p>
    <w:p w14:paraId="04FD774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8.输出光路：≥468个激光头。</w:t>
      </w:r>
    </w:p>
    <w:p w14:paraId="1E40F419">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9.预算控制价：16万元/台。</w:t>
      </w:r>
    </w:p>
    <w:p w14:paraId="380E37B6">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（八）</w:t>
      </w:r>
      <w:r>
        <w:rPr>
          <w:rFonts w:hint="default" w:ascii="Times New Roman" w:hAnsi="Times New Roman" w:eastAsia="仿宋_GB2312" w:cs="Times New Roman"/>
          <w:color w:val="auto"/>
          <w:kern w:val="0"/>
          <w:sz w:val="30"/>
          <w:szCs w:val="30"/>
        </w:rPr>
        <w:t>iPRF离心机（皮肤科）1台</w:t>
      </w:r>
    </w:p>
    <w:p w14:paraId="0F0ED40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1.转速范围：500-5000rpm；</w:t>
      </w:r>
    </w:p>
    <w:p w14:paraId="4767682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2.最大相对离心力：2220xg；</w:t>
      </w:r>
    </w:p>
    <w:p w14:paraId="58668741">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3.最大容量：8*10/15ml</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离心管</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 8*5/10ml</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采血管</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w:t>
      </w:r>
    </w:p>
    <w:p w14:paraId="640FBE07">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4.转速精度：±5r/min；</w:t>
      </w:r>
    </w:p>
    <w:p w14:paraId="732D9E8D">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5.定时范围：内置不少于四种模式：</w:t>
      </w:r>
    </w:p>
    <w:p w14:paraId="064D7765">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CGF</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高浓缩生长因子纤维蛋白离心制造</w:t>
      </w:r>
    </w:p>
    <w:p w14:paraId="51D30E62">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PRP富血小板血浆离心制造</w:t>
      </w:r>
    </w:p>
    <w:p w14:paraId="716183B9">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APRF</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高级血浆富含纤维蛋白</w:t>
      </w:r>
    </w:p>
    <w:p w14:paraId="4A51D9FA">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IPRF</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可注射血浆富含纤维蛋白</w:t>
      </w:r>
    </w:p>
    <w:p w14:paraId="2AF19D61">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6.程序显示：LCD</w:t>
      </w:r>
      <w:r>
        <w:rPr>
          <w:rFonts w:hint="eastAsia" w:ascii="Times New Roman" w:hAnsi="Times New Roman" w:eastAsia="仿宋_GB2312" w:cs="Times New Roman"/>
          <w:color w:val="auto"/>
          <w:sz w:val="30"/>
          <w:szCs w:val="30"/>
          <w:lang w:eastAsia="zh-CN"/>
        </w:rPr>
        <w:t>；</w:t>
      </w:r>
    </w:p>
    <w:p w14:paraId="34734474">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7.安全锁：有</w:t>
      </w:r>
      <w:r>
        <w:rPr>
          <w:rFonts w:hint="eastAsia" w:ascii="Times New Roman" w:hAnsi="Times New Roman" w:eastAsia="仿宋_GB2312" w:cs="Times New Roman"/>
          <w:color w:val="auto"/>
          <w:sz w:val="30"/>
          <w:szCs w:val="30"/>
          <w:lang w:eastAsia="zh-CN"/>
        </w:rPr>
        <w:t>；</w:t>
      </w:r>
    </w:p>
    <w:p w14:paraId="7754EE38">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8.开盖模式：自动/手动</w:t>
      </w:r>
      <w:r>
        <w:rPr>
          <w:rFonts w:hint="eastAsia" w:ascii="Times New Roman" w:hAnsi="Times New Roman" w:eastAsia="仿宋_GB2312" w:cs="Times New Roman"/>
          <w:color w:val="auto"/>
          <w:sz w:val="30"/>
          <w:szCs w:val="30"/>
          <w:lang w:eastAsia="zh-CN"/>
        </w:rPr>
        <w:t>；</w:t>
      </w:r>
    </w:p>
    <w:p w14:paraId="47755C74">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9.预算控制价：25万元/台。</w:t>
      </w:r>
    </w:p>
    <w:p w14:paraId="38BF1CAB">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三、报名需提供材料（严格按照以下顺序做成方案书，电子版为PDF格式，不符合格式要求的方案书不予采纳，资料上必须加盖供应商公章，以证明其真实性，资料不全者，谢绝接收）：</w:t>
      </w:r>
    </w:p>
    <w:p w14:paraId="14943ECF">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1.报名项目名称；</w:t>
      </w:r>
    </w:p>
    <w:p w14:paraId="4689C3E9">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2.报名项目相关设备</w:t>
      </w:r>
      <w:r>
        <w:rPr>
          <w:rFonts w:hint="default" w:ascii="Times New Roman" w:hAnsi="Times New Roman" w:eastAsia="仿宋_GB2312" w:cs="Times New Roman"/>
          <w:color w:val="auto"/>
          <w:kern w:val="0"/>
          <w:sz w:val="30"/>
          <w:szCs w:val="30"/>
          <w:lang w:eastAsia="zh-CN"/>
        </w:rPr>
        <w:t>基本信息表（附件</w:t>
      </w:r>
      <w:r>
        <w:rPr>
          <w:rFonts w:hint="default" w:ascii="Times New Roman" w:hAnsi="Times New Roman" w:eastAsia="仿宋_GB2312" w:cs="Times New Roman"/>
          <w:color w:val="auto"/>
          <w:kern w:val="0"/>
          <w:sz w:val="30"/>
          <w:szCs w:val="30"/>
          <w:lang w:val="en-US" w:eastAsia="zh-CN"/>
        </w:rPr>
        <w:t>1-1</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配置清单；</w:t>
      </w:r>
    </w:p>
    <w:p w14:paraId="2D7621B7">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3.产品彩页、产品简要介绍。另需提供设备相关规格、参数、与其他厂家设备对比情况等的word文档一份；</w:t>
      </w:r>
    </w:p>
    <w:p w14:paraId="02AD3E7E">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4.近几年客户名单，含型号等</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近期报名同款型号设备的中标通知书复印件或合同复印件；</w:t>
      </w:r>
    </w:p>
    <w:p w14:paraId="71CCCDEC">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5.售后服务承诺书；</w:t>
      </w:r>
    </w:p>
    <w:p w14:paraId="2DEEE10C">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6.投标公司资质证件（有效合格的《企业法人营业执照》副本、《税务登记证》副本或最新版加载统一社会信用代码的《营业执照》副本复印件）；</w:t>
      </w:r>
    </w:p>
    <w:p w14:paraId="319B9F18">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7.投标人身份证复印件及个人授权书、联系方式</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手机号码及电子邮箱</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color w:val="auto"/>
          <w:kern w:val="0"/>
          <w:sz w:val="30"/>
          <w:szCs w:val="30"/>
        </w:rPr>
        <w:t>；</w:t>
      </w:r>
    </w:p>
    <w:p w14:paraId="2D975DA5">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8.投标公司法人身份证复印件；</w:t>
      </w:r>
    </w:p>
    <w:p w14:paraId="282C459A">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9.近三年内在经营活动中没有违法记录的书面声明或其他有效证明；</w:t>
      </w:r>
    </w:p>
    <w:p w14:paraId="4B93AF25">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eastAsia="zh-CN"/>
        </w:rPr>
      </w:pPr>
      <w:r>
        <w:rPr>
          <w:rFonts w:hint="default" w:ascii="Times New Roman" w:hAnsi="Times New Roman" w:eastAsia="仿宋_GB2312" w:cs="Times New Roman"/>
          <w:color w:val="auto"/>
          <w:kern w:val="0"/>
          <w:sz w:val="30"/>
          <w:szCs w:val="30"/>
        </w:rPr>
        <w:t>10.生产厂家给投标公司的一级或二级所有授权书</w:t>
      </w:r>
      <w:r>
        <w:rPr>
          <w:rFonts w:hint="default" w:ascii="Times New Roman" w:hAnsi="Times New Roman" w:eastAsia="仿宋_GB2312" w:cs="Times New Roman"/>
          <w:color w:val="auto"/>
          <w:kern w:val="0"/>
          <w:sz w:val="30"/>
          <w:szCs w:val="30"/>
          <w:lang w:eastAsia="zh-CN"/>
        </w:rPr>
        <w:t>；</w:t>
      </w:r>
    </w:p>
    <w:p w14:paraId="1E818E36">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jc w:val="both"/>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lang w:val="en-US" w:eastAsia="zh-CN"/>
        </w:rPr>
        <w:t>11.</w:t>
      </w:r>
      <w:r>
        <w:rPr>
          <w:rFonts w:hint="default" w:ascii="Times New Roman" w:hAnsi="Times New Roman" w:eastAsia="仿宋_GB2312" w:cs="Times New Roman"/>
          <w:color w:val="auto"/>
          <w:kern w:val="0"/>
          <w:sz w:val="30"/>
          <w:szCs w:val="30"/>
          <w:lang w:eastAsia="zh-CN"/>
        </w:rPr>
        <w:t>医疗器械项目特定资格要求材料。</w:t>
      </w:r>
    </w:p>
    <w:p w14:paraId="43AA85AA">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四</w:t>
      </w:r>
      <w:r>
        <w:rPr>
          <w:rFonts w:hint="default" w:ascii="Times New Roman" w:hAnsi="Times New Roman" w:eastAsia="仿宋_GB2312" w:cs="Times New Roman"/>
          <w:color w:val="auto"/>
          <w:kern w:val="0"/>
          <w:sz w:val="30"/>
          <w:szCs w:val="30"/>
        </w:rPr>
        <w:t>、采购方式：</w:t>
      </w:r>
      <w:r>
        <w:rPr>
          <w:rFonts w:hint="eastAsia" w:ascii="Times New Roman" w:hAnsi="Times New Roman" w:eastAsia="仿宋_GB2312" w:cs="Times New Roman"/>
          <w:color w:val="auto"/>
          <w:kern w:val="0"/>
          <w:sz w:val="30"/>
          <w:szCs w:val="30"/>
          <w:lang w:eastAsia="zh-CN"/>
        </w:rPr>
        <w:t>公开招标</w:t>
      </w:r>
    </w:p>
    <w:p w14:paraId="69BE2601">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五</w:t>
      </w:r>
      <w:r>
        <w:rPr>
          <w:rFonts w:hint="default" w:ascii="Times New Roman" w:hAnsi="Times New Roman" w:eastAsia="仿宋_GB2312" w:cs="Times New Roman"/>
          <w:color w:val="auto"/>
          <w:kern w:val="0"/>
          <w:sz w:val="30"/>
          <w:szCs w:val="30"/>
        </w:rPr>
        <w:t>、报名时间：202</w:t>
      </w:r>
      <w:r>
        <w:rPr>
          <w:rFonts w:hint="default" w:ascii="Times New Roman" w:hAnsi="Times New Roman" w:eastAsia="仿宋_GB2312" w:cs="Times New Roman"/>
          <w:color w:val="auto"/>
          <w:kern w:val="0"/>
          <w:sz w:val="30"/>
          <w:szCs w:val="30"/>
          <w:lang w:val="en-US" w:eastAsia="zh-CN"/>
        </w:rPr>
        <w:t>5</w:t>
      </w:r>
      <w:r>
        <w:rPr>
          <w:rFonts w:hint="default" w:ascii="Times New Roman" w:hAnsi="Times New Roman" w:eastAsia="仿宋_GB2312" w:cs="Times New Roman"/>
          <w:color w:val="auto"/>
          <w:kern w:val="0"/>
          <w:sz w:val="30"/>
          <w:szCs w:val="30"/>
        </w:rPr>
        <w:t>年</w:t>
      </w:r>
      <w:r>
        <w:rPr>
          <w:rFonts w:hint="default" w:ascii="Times New Roman" w:hAnsi="Times New Roman" w:eastAsia="仿宋_GB2312" w:cs="Times New Roman"/>
          <w:color w:val="auto"/>
          <w:kern w:val="0"/>
          <w:sz w:val="30"/>
          <w:szCs w:val="30"/>
          <w:lang w:val="en-US" w:eastAsia="zh-CN"/>
        </w:rPr>
        <w:t>6</w:t>
      </w:r>
      <w:r>
        <w:rPr>
          <w:rFonts w:hint="default" w:ascii="Times New Roman" w:hAnsi="Times New Roman" w:eastAsia="仿宋_GB2312" w:cs="Times New Roman"/>
          <w:color w:val="auto"/>
          <w:kern w:val="0"/>
          <w:sz w:val="30"/>
          <w:szCs w:val="30"/>
        </w:rPr>
        <w:t>月</w:t>
      </w:r>
      <w:r>
        <w:rPr>
          <w:rFonts w:hint="eastAsia" w:ascii="Times New Roman" w:hAnsi="Times New Roman" w:eastAsia="仿宋_GB2312" w:cs="Times New Roman"/>
          <w:color w:val="auto"/>
          <w:kern w:val="0"/>
          <w:sz w:val="30"/>
          <w:szCs w:val="30"/>
          <w:lang w:val="en-US" w:eastAsia="zh-CN"/>
        </w:rPr>
        <w:t>6</w:t>
      </w:r>
      <w:r>
        <w:rPr>
          <w:rFonts w:hint="default" w:ascii="Times New Roman" w:hAnsi="Times New Roman" w:eastAsia="仿宋_GB2312" w:cs="Times New Roman"/>
          <w:color w:val="auto"/>
          <w:kern w:val="0"/>
          <w:sz w:val="30"/>
          <w:szCs w:val="30"/>
        </w:rPr>
        <w:t>日至202</w:t>
      </w:r>
      <w:r>
        <w:rPr>
          <w:rFonts w:hint="default" w:ascii="Times New Roman" w:hAnsi="Times New Roman" w:eastAsia="仿宋_GB2312" w:cs="Times New Roman"/>
          <w:color w:val="auto"/>
          <w:kern w:val="0"/>
          <w:sz w:val="30"/>
          <w:szCs w:val="30"/>
          <w:lang w:val="en-US" w:eastAsia="zh-CN"/>
        </w:rPr>
        <w:t>5</w:t>
      </w:r>
      <w:r>
        <w:rPr>
          <w:rFonts w:hint="default" w:ascii="Times New Roman" w:hAnsi="Times New Roman" w:eastAsia="仿宋_GB2312" w:cs="Times New Roman"/>
          <w:color w:val="auto"/>
          <w:kern w:val="0"/>
          <w:sz w:val="30"/>
          <w:szCs w:val="30"/>
        </w:rPr>
        <w:t>年</w:t>
      </w:r>
      <w:r>
        <w:rPr>
          <w:rFonts w:hint="default" w:ascii="Times New Roman" w:hAnsi="Times New Roman" w:eastAsia="仿宋_GB2312" w:cs="Times New Roman"/>
          <w:color w:val="auto"/>
          <w:kern w:val="0"/>
          <w:sz w:val="30"/>
          <w:szCs w:val="30"/>
          <w:lang w:val="en-US" w:eastAsia="zh-CN"/>
        </w:rPr>
        <w:t>6</w:t>
      </w:r>
      <w:r>
        <w:rPr>
          <w:rFonts w:hint="default" w:ascii="Times New Roman" w:hAnsi="Times New Roman" w:eastAsia="仿宋_GB2312" w:cs="Times New Roman"/>
          <w:color w:val="auto"/>
          <w:kern w:val="0"/>
          <w:sz w:val="30"/>
          <w:szCs w:val="30"/>
        </w:rPr>
        <w:t>月</w:t>
      </w:r>
      <w:r>
        <w:rPr>
          <w:rFonts w:hint="eastAsia" w:ascii="Times New Roman" w:hAnsi="Times New Roman" w:eastAsia="仿宋_GB2312" w:cs="Times New Roman"/>
          <w:color w:val="auto"/>
          <w:kern w:val="0"/>
          <w:sz w:val="30"/>
          <w:szCs w:val="30"/>
          <w:lang w:val="en-US" w:eastAsia="zh-CN"/>
        </w:rPr>
        <w:t>13</w:t>
      </w:r>
      <w:r>
        <w:rPr>
          <w:rFonts w:hint="default" w:ascii="Times New Roman" w:hAnsi="Times New Roman" w:eastAsia="仿宋_GB2312" w:cs="Times New Roman"/>
          <w:color w:val="auto"/>
          <w:kern w:val="0"/>
          <w:sz w:val="30"/>
          <w:szCs w:val="30"/>
        </w:rPr>
        <w:t>日</w:t>
      </w:r>
    </w:p>
    <w:p w14:paraId="2E4521AC">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六</w:t>
      </w:r>
      <w:r>
        <w:rPr>
          <w:rFonts w:hint="default" w:ascii="Times New Roman" w:hAnsi="Times New Roman" w:eastAsia="仿宋_GB2312" w:cs="Times New Roman"/>
          <w:color w:val="auto"/>
          <w:kern w:val="0"/>
          <w:sz w:val="30"/>
          <w:szCs w:val="30"/>
        </w:rPr>
        <w:t>、报名方式：</w:t>
      </w:r>
    </w:p>
    <w:p w14:paraId="59A5C274">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此次报名采用电子邮件及纸质文件报名，并提供纸质密封报价文件（</w:t>
      </w:r>
      <w:r>
        <w:rPr>
          <w:rFonts w:hint="eastAsia" w:ascii="Times New Roman" w:hAnsi="Times New Roman" w:eastAsia="仿宋_GB2312" w:cs="Times New Roman"/>
          <w:color w:val="auto"/>
          <w:kern w:val="0"/>
          <w:sz w:val="30"/>
          <w:szCs w:val="30"/>
          <w:lang w:eastAsia="zh-CN"/>
        </w:rPr>
        <w:t>报价单格式见附件</w:t>
      </w:r>
      <w:r>
        <w:rPr>
          <w:rFonts w:hint="eastAsia" w:ascii="Times New Roman" w:hAnsi="Times New Roman" w:eastAsia="仿宋_GB2312" w:cs="Times New Roman"/>
          <w:color w:val="auto"/>
          <w:kern w:val="0"/>
          <w:sz w:val="30"/>
          <w:szCs w:val="30"/>
          <w:lang w:val="en-US" w:eastAsia="zh-CN"/>
        </w:rPr>
        <w:t>1-2，</w:t>
      </w:r>
      <w:bookmarkStart w:id="3" w:name="_GoBack"/>
      <w:bookmarkEnd w:id="3"/>
      <w:r>
        <w:rPr>
          <w:rFonts w:hint="default" w:ascii="Times New Roman" w:hAnsi="Times New Roman" w:eastAsia="仿宋_GB2312" w:cs="Times New Roman"/>
          <w:color w:val="auto"/>
          <w:kern w:val="0"/>
          <w:sz w:val="30"/>
          <w:szCs w:val="30"/>
        </w:rPr>
        <w:t>报价文件于产品论证时启封，并作为产品第一轮有效报价）。报名材料于公示期内发送到2024836336@qq.com（邮件名称格式为：公司名-报名项目名称-联系人姓名及手机号）。逾期收到的或不符合规定的材料文件将</w:t>
      </w:r>
      <w:r>
        <w:rPr>
          <w:rFonts w:hint="default" w:ascii="Times New Roman" w:hAnsi="Times New Roman" w:eastAsia="仿宋_GB2312" w:cs="Times New Roman"/>
          <w:color w:val="auto"/>
          <w:kern w:val="0"/>
          <w:sz w:val="30"/>
          <w:szCs w:val="30"/>
          <w:lang w:eastAsia="zh-CN"/>
        </w:rPr>
        <w:t>作</w:t>
      </w:r>
      <w:r>
        <w:rPr>
          <w:rFonts w:hint="default" w:ascii="Times New Roman" w:hAnsi="Times New Roman" w:eastAsia="仿宋_GB2312" w:cs="Times New Roman"/>
          <w:color w:val="auto"/>
          <w:kern w:val="0"/>
          <w:sz w:val="30"/>
          <w:szCs w:val="30"/>
        </w:rPr>
        <w:t>无效处理。</w:t>
      </w:r>
    </w:p>
    <w:p w14:paraId="05D4C198">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纸质报名材料和纸质密封报价文件送达地址：福建省晋江市安海镇海八中路92号晋江市安海医院文博楼四楼后勤保障部。</w:t>
      </w:r>
    </w:p>
    <w:p w14:paraId="4EE6DC12">
      <w:pPr>
        <w:keepNext w:val="0"/>
        <w:keepLines w:val="0"/>
        <w:pageBreakBefore w:val="0"/>
        <w:widowControl w:val="0"/>
        <w:shd w:val="clear" w:color="auto" w:fill="FFFFFF" w:themeFill="background1"/>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七</w:t>
      </w:r>
      <w:r>
        <w:rPr>
          <w:rFonts w:hint="default" w:ascii="Times New Roman" w:hAnsi="Times New Roman" w:eastAsia="仿宋_GB2312" w:cs="Times New Roman"/>
          <w:color w:val="auto"/>
          <w:kern w:val="0"/>
          <w:sz w:val="30"/>
          <w:szCs w:val="30"/>
        </w:rPr>
        <w:t>、产品介绍时间及地点另行通知（如有需要）。</w:t>
      </w:r>
    </w:p>
    <w:p w14:paraId="1256948B">
      <w:pPr>
        <w:keepNext w:val="0"/>
        <w:keepLines w:val="0"/>
        <w:pageBreakBefore w:val="0"/>
        <w:widowControl w:val="0"/>
        <w:kinsoku/>
        <w:wordWrap/>
        <w:overflowPunct/>
        <w:topLinePunct w:val="0"/>
        <w:autoSpaceDE/>
        <w:autoSpaceDN/>
        <w:bidi w:val="0"/>
        <w:adjustRightInd/>
        <w:snapToGrid/>
        <w:spacing w:line="536" w:lineRule="exact"/>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八</w:t>
      </w:r>
      <w:r>
        <w:rPr>
          <w:rFonts w:hint="default" w:ascii="Times New Roman" w:hAnsi="Times New Roman" w:eastAsia="仿宋_GB2312" w:cs="Times New Roman"/>
          <w:color w:val="auto"/>
          <w:kern w:val="0"/>
          <w:sz w:val="30"/>
          <w:szCs w:val="30"/>
        </w:rPr>
        <w:t>、联系电话：后勤保障部物资供应科  0595-85723832 林女士。</w:t>
      </w:r>
    </w:p>
    <w:p w14:paraId="29454F0D">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color w:val="auto"/>
          <w:kern w:val="0"/>
          <w:sz w:val="30"/>
          <w:szCs w:val="30"/>
        </w:rPr>
      </w:pPr>
    </w:p>
    <w:p w14:paraId="6081CA86">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color w:val="auto"/>
          <w:kern w:val="0"/>
          <w:sz w:val="30"/>
          <w:szCs w:val="30"/>
        </w:rPr>
      </w:pPr>
    </w:p>
    <w:p w14:paraId="23BC7DCE">
      <w:pPr>
        <w:keepNext w:val="0"/>
        <w:keepLines w:val="0"/>
        <w:pageBreakBefore w:val="0"/>
        <w:widowControl w:val="0"/>
        <w:kinsoku/>
        <w:wordWrap/>
        <w:overflowPunct/>
        <w:topLinePunct w:val="0"/>
        <w:autoSpaceDE/>
        <w:autoSpaceDN/>
        <w:bidi w:val="0"/>
        <w:adjustRightInd/>
        <w:snapToGrid/>
        <w:spacing w:line="536" w:lineRule="exact"/>
        <w:jc w:val="righ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晋江市安海医院后勤保障部物资供应科</w:t>
      </w:r>
    </w:p>
    <w:p w14:paraId="3886E13A">
      <w:pPr>
        <w:keepNext w:val="0"/>
        <w:keepLines w:val="0"/>
        <w:pageBreakBefore w:val="0"/>
        <w:widowControl w:val="0"/>
        <w:kinsoku/>
        <w:wordWrap w:val="0"/>
        <w:overflowPunct/>
        <w:topLinePunct w:val="0"/>
        <w:autoSpaceDE/>
        <w:autoSpaceDN/>
        <w:bidi w:val="0"/>
        <w:adjustRightInd/>
        <w:snapToGrid/>
        <w:spacing w:line="536" w:lineRule="exact"/>
        <w:jc w:val="right"/>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color w:val="auto"/>
          <w:kern w:val="0"/>
          <w:sz w:val="30"/>
          <w:szCs w:val="30"/>
        </w:rPr>
        <w:t>202</w:t>
      </w:r>
      <w:r>
        <w:rPr>
          <w:rFonts w:hint="default" w:ascii="Times New Roman" w:hAnsi="Times New Roman" w:eastAsia="仿宋_GB2312" w:cs="Times New Roman"/>
          <w:color w:val="auto"/>
          <w:kern w:val="0"/>
          <w:sz w:val="30"/>
          <w:szCs w:val="30"/>
          <w:lang w:val="en-US" w:eastAsia="zh-CN"/>
        </w:rPr>
        <w:t>5</w:t>
      </w:r>
      <w:r>
        <w:rPr>
          <w:rFonts w:hint="default" w:ascii="Times New Roman" w:hAnsi="Times New Roman" w:eastAsia="仿宋_GB2312" w:cs="Times New Roman"/>
          <w:color w:val="auto"/>
          <w:kern w:val="0"/>
          <w:sz w:val="30"/>
          <w:szCs w:val="30"/>
        </w:rPr>
        <w:t>年</w:t>
      </w:r>
      <w:r>
        <w:rPr>
          <w:rFonts w:hint="default" w:ascii="Times New Roman" w:hAnsi="Times New Roman" w:eastAsia="仿宋_GB2312" w:cs="Times New Roman"/>
          <w:color w:val="auto"/>
          <w:kern w:val="0"/>
          <w:sz w:val="30"/>
          <w:szCs w:val="30"/>
          <w:lang w:val="en-US" w:eastAsia="zh-CN"/>
        </w:rPr>
        <w:t>6</w:t>
      </w:r>
      <w:r>
        <w:rPr>
          <w:rFonts w:hint="default" w:ascii="Times New Roman" w:hAnsi="Times New Roman" w:eastAsia="仿宋_GB2312" w:cs="Times New Roman"/>
          <w:color w:val="auto"/>
          <w:kern w:val="0"/>
          <w:sz w:val="30"/>
          <w:szCs w:val="30"/>
        </w:rPr>
        <w:t>月</w:t>
      </w:r>
      <w:r>
        <w:rPr>
          <w:rFonts w:hint="eastAsia" w:ascii="Times New Roman" w:hAnsi="Times New Roman" w:eastAsia="仿宋_GB2312" w:cs="Times New Roman"/>
          <w:color w:val="auto"/>
          <w:kern w:val="0"/>
          <w:sz w:val="30"/>
          <w:szCs w:val="30"/>
          <w:lang w:val="en-US" w:eastAsia="zh-CN"/>
        </w:rPr>
        <w:t>6</w:t>
      </w:r>
      <w:r>
        <w:rPr>
          <w:rFonts w:hint="default" w:ascii="Times New Roman" w:hAnsi="Times New Roman" w:eastAsia="仿宋_GB2312" w:cs="Times New Roman"/>
          <w:color w:val="auto"/>
          <w:kern w:val="0"/>
          <w:sz w:val="30"/>
          <w:szCs w:val="30"/>
        </w:rPr>
        <w:t>日</w:t>
      </w:r>
      <w:r>
        <w:rPr>
          <w:rFonts w:hint="eastAsia" w:ascii="Times New Roman" w:hAnsi="Times New Roman" w:eastAsia="仿宋_GB2312" w:cs="Times New Roman"/>
          <w:color w:val="auto"/>
          <w:kern w:val="0"/>
          <w:sz w:val="30"/>
          <w:szCs w:val="30"/>
          <w:lang w:val="en-US" w:eastAsia="zh-CN"/>
        </w:rPr>
        <w:t xml:space="preserve">         </w:t>
      </w:r>
    </w:p>
    <w:p w14:paraId="0C2435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br w:type="page"/>
      </w:r>
    </w:p>
    <w:p w14:paraId="6A8F34F5">
      <w:pPr>
        <w:jc w:val="left"/>
        <w:rPr>
          <w:rFonts w:hint="default" w:ascii="黑体" w:hAnsi="黑体" w:eastAsia="黑体"/>
          <w:color w:val="auto"/>
          <w:sz w:val="32"/>
          <w:szCs w:val="32"/>
          <w:lang w:val="en-US" w:eastAsia="zh-CN"/>
        </w:rPr>
      </w:pP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1-1</w:t>
      </w:r>
    </w:p>
    <w:p w14:paraId="057DE324">
      <w:pPr>
        <w:jc w:val="center"/>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kern w:val="0"/>
          <w:sz w:val="36"/>
          <w:szCs w:val="36"/>
        </w:rPr>
        <w:t>报名项目相关设备</w:t>
      </w:r>
      <w:r>
        <w:rPr>
          <w:rFonts w:hint="eastAsia" w:ascii="方正小标宋简体" w:hAnsi="方正小标宋简体" w:eastAsia="方正小标宋简体" w:cs="方正小标宋简体"/>
          <w:b w:val="0"/>
          <w:bCs w:val="0"/>
          <w:color w:val="auto"/>
          <w:kern w:val="0"/>
          <w:sz w:val="36"/>
          <w:szCs w:val="36"/>
          <w:lang w:eastAsia="zh-CN"/>
        </w:rPr>
        <w:t>基本信息表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5700"/>
      </w:tblGrid>
      <w:tr w14:paraId="6ED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0F934D92">
            <w:pPr>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设备名称</w:t>
            </w:r>
          </w:p>
        </w:tc>
        <w:tc>
          <w:tcPr>
            <w:tcW w:w="5700" w:type="dxa"/>
          </w:tcPr>
          <w:p w14:paraId="57213D9B">
            <w:pPr>
              <w:jc w:val="left"/>
              <w:rPr>
                <w:rFonts w:hint="eastAsia" w:ascii="黑体" w:hAnsi="黑体" w:eastAsia="黑体"/>
                <w:color w:val="auto"/>
                <w:sz w:val="32"/>
                <w:szCs w:val="32"/>
                <w:vertAlign w:val="baseline"/>
                <w:lang w:eastAsia="zh-CN"/>
              </w:rPr>
            </w:pPr>
          </w:p>
        </w:tc>
      </w:tr>
      <w:tr w14:paraId="242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39974712">
            <w:pPr>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规格型号</w:t>
            </w:r>
          </w:p>
        </w:tc>
        <w:tc>
          <w:tcPr>
            <w:tcW w:w="5700" w:type="dxa"/>
          </w:tcPr>
          <w:p w14:paraId="46B244DA">
            <w:pPr>
              <w:jc w:val="left"/>
              <w:rPr>
                <w:rFonts w:hint="eastAsia" w:ascii="黑体" w:hAnsi="黑体" w:eastAsia="黑体"/>
                <w:color w:val="auto"/>
                <w:sz w:val="32"/>
                <w:szCs w:val="32"/>
                <w:vertAlign w:val="baseline"/>
                <w:lang w:eastAsia="zh-CN"/>
              </w:rPr>
            </w:pPr>
          </w:p>
        </w:tc>
      </w:tr>
      <w:tr w14:paraId="5FDB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2887BD11">
            <w:pPr>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生产厂家</w:t>
            </w:r>
          </w:p>
        </w:tc>
        <w:tc>
          <w:tcPr>
            <w:tcW w:w="5700" w:type="dxa"/>
          </w:tcPr>
          <w:p w14:paraId="29BA6D89">
            <w:pPr>
              <w:jc w:val="left"/>
              <w:rPr>
                <w:rFonts w:hint="eastAsia" w:ascii="黑体" w:hAnsi="黑体" w:eastAsia="黑体"/>
                <w:color w:val="auto"/>
                <w:sz w:val="32"/>
                <w:szCs w:val="32"/>
                <w:vertAlign w:val="baseline"/>
                <w:lang w:eastAsia="zh-CN"/>
              </w:rPr>
            </w:pPr>
          </w:p>
        </w:tc>
      </w:tr>
      <w:tr w14:paraId="4583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0C2A0B8A">
            <w:pPr>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注册证号</w:t>
            </w:r>
          </w:p>
        </w:tc>
        <w:tc>
          <w:tcPr>
            <w:tcW w:w="5700" w:type="dxa"/>
          </w:tcPr>
          <w:p w14:paraId="5104896F">
            <w:pPr>
              <w:jc w:val="left"/>
              <w:rPr>
                <w:rFonts w:hint="eastAsia" w:ascii="黑体" w:hAnsi="黑体" w:eastAsia="黑体"/>
                <w:color w:val="auto"/>
                <w:sz w:val="32"/>
                <w:szCs w:val="32"/>
                <w:vertAlign w:val="baseline"/>
                <w:lang w:eastAsia="zh-CN"/>
              </w:rPr>
            </w:pPr>
          </w:p>
        </w:tc>
      </w:tr>
      <w:tr w14:paraId="3BD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103F85D7">
            <w:pPr>
              <w:jc w:val="center"/>
              <w:rPr>
                <w:rFonts w:hint="eastAsia" w:ascii="仿宋" w:hAnsi="仿宋" w:eastAsia="仿宋" w:cs="仿宋"/>
                <w:color w:val="auto"/>
                <w:sz w:val="30"/>
                <w:szCs w:val="30"/>
                <w:vertAlign w:val="baseline"/>
                <w:lang w:eastAsia="zh-CN"/>
              </w:rPr>
            </w:pPr>
            <w:r>
              <w:rPr>
                <w:rFonts w:hint="eastAsia" w:ascii="仿宋" w:hAnsi="仿宋" w:eastAsia="仿宋" w:cs="仿宋"/>
                <w:color w:val="auto"/>
                <w:sz w:val="30"/>
                <w:szCs w:val="30"/>
                <w:vertAlign w:val="baseline"/>
                <w:lang w:eastAsia="zh-CN"/>
              </w:rPr>
              <w:t>使用年限（年）</w:t>
            </w:r>
          </w:p>
        </w:tc>
        <w:tc>
          <w:tcPr>
            <w:tcW w:w="5700" w:type="dxa"/>
          </w:tcPr>
          <w:p w14:paraId="7809241C">
            <w:pPr>
              <w:jc w:val="left"/>
              <w:rPr>
                <w:rFonts w:hint="eastAsia" w:ascii="黑体" w:hAnsi="黑体" w:eastAsia="黑体"/>
                <w:color w:val="auto"/>
                <w:sz w:val="32"/>
                <w:szCs w:val="32"/>
                <w:vertAlign w:val="baseline"/>
                <w:lang w:eastAsia="zh-CN"/>
              </w:rPr>
            </w:pPr>
          </w:p>
        </w:tc>
      </w:tr>
      <w:tr w14:paraId="627E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6" w:hRule="atLeast"/>
        </w:trPr>
        <w:tc>
          <w:tcPr>
            <w:tcW w:w="8522" w:type="dxa"/>
            <w:gridSpan w:val="2"/>
          </w:tcPr>
          <w:p w14:paraId="4BAEE3BE">
            <w:pPr>
              <w:jc w:val="left"/>
              <w:rPr>
                <w:rFonts w:hint="eastAsia" w:ascii="黑体" w:hAnsi="黑体" w:eastAsia="黑体"/>
                <w:color w:val="auto"/>
                <w:sz w:val="32"/>
                <w:szCs w:val="32"/>
                <w:vertAlign w:val="baseline"/>
                <w:lang w:eastAsia="zh-CN"/>
              </w:rPr>
            </w:pPr>
            <w:r>
              <w:rPr>
                <w:rFonts w:hint="eastAsia" w:ascii="仿宋" w:hAnsi="仿宋" w:eastAsia="仿宋" w:cs="仿宋"/>
                <w:b/>
                <w:bCs/>
                <w:color w:val="auto"/>
                <w:sz w:val="24"/>
                <w:szCs w:val="24"/>
                <w:vertAlign w:val="baseline"/>
                <w:lang w:eastAsia="zh-CN"/>
              </w:rPr>
              <w:t>设备使用年限佐证材料（可提供设备铭牌照片等佐证材料）：</w:t>
            </w:r>
          </w:p>
        </w:tc>
      </w:tr>
    </w:tbl>
    <w:p w14:paraId="69BBB0E1">
      <w:pPr>
        <w:jc w:val="left"/>
        <w:rPr>
          <w:rFonts w:hint="default" w:ascii="黑体" w:hAnsi="黑体" w:eastAsia="黑体"/>
          <w:color w:val="auto"/>
          <w:sz w:val="32"/>
          <w:szCs w:val="32"/>
          <w:lang w:val="en-US" w:eastAsia="zh-CN"/>
        </w:rPr>
      </w:pP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1-2</w:t>
      </w:r>
    </w:p>
    <w:p w14:paraId="2CA61935">
      <w:pPr>
        <w:jc w:val="center"/>
        <w:rPr>
          <w:rFonts w:ascii="黑体" w:hAnsi="黑体" w:eastAsia="黑体"/>
          <w:color w:val="auto"/>
          <w:sz w:val="44"/>
          <w:szCs w:val="44"/>
        </w:rPr>
      </w:pPr>
      <w:r>
        <w:rPr>
          <w:rFonts w:hint="eastAsia" w:ascii="黑体" w:hAnsi="黑体" w:eastAsia="黑体"/>
          <w:color w:val="auto"/>
          <w:sz w:val="44"/>
          <w:szCs w:val="44"/>
        </w:rPr>
        <w:t>晋</w:t>
      </w:r>
      <w:r>
        <w:rPr>
          <w:rFonts w:ascii="黑体" w:hAnsi="黑体" w:eastAsia="黑体"/>
          <w:color w:val="auto"/>
          <w:sz w:val="44"/>
          <w:szCs w:val="44"/>
        </w:rPr>
        <w:t>江市安海医院医疗器械报价单</w:t>
      </w:r>
    </w:p>
    <w:p w14:paraId="101C94DE">
      <w:pPr>
        <w:rPr>
          <w:rFonts w:ascii="宋体" w:hAnsi="宋体" w:eastAsia="宋体"/>
          <w:color w:val="auto"/>
          <w:sz w:val="24"/>
          <w:szCs w:val="24"/>
        </w:rPr>
      </w:pPr>
    </w:p>
    <w:p w14:paraId="3411D5FD">
      <w:pPr>
        <w:spacing w:line="560" w:lineRule="exact"/>
        <w:rPr>
          <w:rFonts w:ascii="宋体" w:hAnsi="宋体" w:eastAsia="宋体"/>
          <w:color w:val="auto"/>
          <w:sz w:val="24"/>
          <w:szCs w:val="24"/>
        </w:rPr>
      </w:pPr>
      <w:r>
        <w:rPr>
          <w:rFonts w:hint="eastAsia" w:ascii="宋体" w:hAnsi="宋体" w:eastAsia="宋体"/>
          <w:color w:val="auto"/>
          <w:sz w:val="24"/>
          <w:szCs w:val="24"/>
        </w:rPr>
        <w:t>公司名称（</w:t>
      </w:r>
      <w:r>
        <w:rPr>
          <w:rFonts w:ascii="宋体" w:hAnsi="宋体" w:eastAsia="宋体"/>
          <w:color w:val="auto"/>
          <w:sz w:val="24"/>
          <w:szCs w:val="24"/>
        </w:rPr>
        <w:t>盖章）：</w:t>
      </w:r>
      <w:r>
        <w:rPr>
          <w:rFonts w:hint="eastAsia" w:ascii="宋体" w:hAnsi="宋体" w:eastAsia="宋体"/>
          <w:color w:val="auto"/>
          <w:sz w:val="24"/>
          <w:szCs w:val="24"/>
        </w:rPr>
        <w:t xml:space="preserve">                         公司</w:t>
      </w:r>
      <w:r>
        <w:rPr>
          <w:rFonts w:ascii="宋体" w:hAnsi="宋体" w:eastAsia="宋体"/>
          <w:color w:val="auto"/>
          <w:sz w:val="24"/>
          <w:szCs w:val="24"/>
        </w:rPr>
        <w:t>地</w:t>
      </w:r>
      <w:r>
        <w:rPr>
          <w:rFonts w:hint="eastAsia" w:ascii="宋体" w:hAnsi="宋体" w:eastAsia="宋体"/>
          <w:color w:val="auto"/>
          <w:sz w:val="24"/>
          <w:szCs w:val="24"/>
        </w:rPr>
        <w:t>址</w:t>
      </w:r>
      <w:r>
        <w:rPr>
          <w:rFonts w:ascii="宋体" w:hAnsi="宋体" w:eastAsia="宋体"/>
          <w:color w:val="auto"/>
          <w:sz w:val="24"/>
          <w:szCs w:val="24"/>
        </w:rPr>
        <w:t>：</w:t>
      </w:r>
    </w:p>
    <w:p w14:paraId="1E4657CC">
      <w:pPr>
        <w:spacing w:line="560" w:lineRule="exact"/>
        <w:rPr>
          <w:rFonts w:ascii="宋体" w:hAnsi="宋体" w:eastAsia="宋体"/>
          <w:color w:val="auto"/>
          <w:sz w:val="24"/>
          <w:szCs w:val="24"/>
        </w:rPr>
      </w:pPr>
      <w:r>
        <w:rPr>
          <w:rFonts w:hint="eastAsia" w:ascii="宋体" w:hAnsi="宋体" w:eastAsia="宋体"/>
          <w:color w:val="auto"/>
          <w:sz w:val="24"/>
          <w:szCs w:val="24"/>
        </w:rPr>
        <w:t>联系</w:t>
      </w:r>
      <w:r>
        <w:rPr>
          <w:rFonts w:ascii="宋体" w:hAnsi="宋体" w:eastAsia="宋体"/>
          <w:color w:val="auto"/>
          <w:sz w:val="24"/>
          <w:szCs w:val="24"/>
        </w:rPr>
        <w:t>人：</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联系</w:t>
      </w:r>
      <w:r>
        <w:rPr>
          <w:rFonts w:ascii="宋体" w:hAnsi="宋体" w:eastAsia="宋体"/>
          <w:color w:val="auto"/>
          <w:sz w:val="24"/>
          <w:szCs w:val="24"/>
        </w:rPr>
        <w:t>电话：</w:t>
      </w:r>
    </w:p>
    <w:p w14:paraId="03DC7982">
      <w:pPr>
        <w:spacing w:line="560" w:lineRule="exact"/>
        <w:rPr>
          <w:rFonts w:ascii="宋体" w:hAnsi="宋体" w:eastAsia="宋体"/>
          <w:color w:val="auto"/>
          <w:sz w:val="24"/>
          <w:szCs w:val="24"/>
        </w:rPr>
      </w:pPr>
      <w:r>
        <w:rPr>
          <w:rFonts w:hint="eastAsia" w:ascii="宋体" w:hAnsi="宋体" w:eastAsia="宋体"/>
          <w:color w:val="auto"/>
          <w:sz w:val="24"/>
          <w:szCs w:val="24"/>
        </w:rPr>
        <w:t>第一</w:t>
      </w:r>
      <w:r>
        <w:rPr>
          <w:rFonts w:ascii="宋体" w:hAnsi="宋体" w:eastAsia="宋体"/>
          <w:color w:val="auto"/>
          <w:sz w:val="24"/>
          <w:szCs w:val="24"/>
        </w:rPr>
        <w:t>轮报价：</w:t>
      </w: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6"/>
        <w:gridCol w:w="1843"/>
        <w:gridCol w:w="1134"/>
        <w:gridCol w:w="1278"/>
        <w:gridCol w:w="1727"/>
      </w:tblGrid>
      <w:tr w14:paraId="6562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76" w:type="dxa"/>
            <w:vAlign w:val="center"/>
          </w:tcPr>
          <w:p w14:paraId="3CCACC46">
            <w:pPr>
              <w:spacing w:line="560" w:lineRule="exact"/>
              <w:jc w:val="center"/>
              <w:rPr>
                <w:rFonts w:ascii="宋体" w:hAnsi="宋体" w:eastAsia="宋体"/>
                <w:color w:val="auto"/>
                <w:kern w:val="0"/>
                <w:sz w:val="24"/>
                <w:szCs w:val="24"/>
              </w:rPr>
            </w:pPr>
            <w:r>
              <w:rPr>
                <w:rFonts w:hint="eastAsia" w:ascii="宋体" w:hAnsi="宋体" w:eastAsia="宋体"/>
                <w:color w:val="auto"/>
                <w:kern w:val="0"/>
                <w:sz w:val="24"/>
                <w:szCs w:val="24"/>
              </w:rPr>
              <w:t>设备名称</w:t>
            </w:r>
          </w:p>
        </w:tc>
        <w:tc>
          <w:tcPr>
            <w:tcW w:w="1276" w:type="dxa"/>
            <w:vAlign w:val="center"/>
          </w:tcPr>
          <w:p w14:paraId="78FA0A8B">
            <w:pPr>
              <w:spacing w:line="560" w:lineRule="exact"/>
              <w:jc w:val="center"/>
              <w:rPr>
                <w:rFonts w:ascii="宋体" w:hAnsi="宋体" w:eastAsia="宋体"/>
                <w:color w:val="auto"/>
                <w:kern w:val="0"/>
                <w:sz w:val="24"/>
                <w:szCs w:val="24"/>
              </w:rPr>
            </w:pPr>
            <w:r>
              <w:rPr>
                <w:rFonts w:hint="eastAsia" w:ascii="宋体" w:hAnsi="宋体" w:eastAsia="宋体"/>
                <w:color w:val="auto"/>
                <w:kern w:val="0"/>
                <w:sz w:val="24"/>
                <w:szCs w:val="24"/>
              </w:rPr>
              <w:t>型号</w:t>
            </w:r>
          </w:p>
        </w:tc>
        <w:tc>
          <w:tcPr>
            <w:tcW w:w="1843" w:type="dxa"/>
            <w:vAlign w:val="center"/>
          </w:tcPr>
          <w:p w14:paraId="4DEEB62F">
            <w:pPr>
              <w:spacing w:line="560" w:lineRule="exact"/>
              <w:jc w:val="center"/>
              <w:rPr>
                <w:rFonts w:ascii="宋体" w:hAnsi="宋体" w:eastAsia="宋体"/>
                <w:color w:val="auto"/>
                <w:kern w:val="0"/>
                <w:sz w:val="24"/>
                <w:szCs w:val="24"/>
              </w:rPr>
            </w:pPr>
            <w:r>
              <w:rPr>
                <w:rFonts w:hint="eastAsia" w:ascii="宋体" w:hAnsi="宋体" w:eastAsia="宋体"/>
                <w:color w:val="auto"/>
                <w:kern w:val="0"/>
                <w:sz w:val="24"/>
                <w:szCs w:val="24"/>
              </w:rPr>
              <w:t>生产厂家</w:t>
            </w:r>
          </w:p>
        </w:tc>
        <w:tc>
          <w:tcPr>
            <w:tcW w:w="1134" w:type="dxa"/>
            <w:vAlign w:val="center"/>
          </w:tcPr>
          <w:p w14:paraId="235FA143">
            <w:pPr>
              <w:spacing w:line="560" w:lineRule="exact"/>
              <w:jc w:val="center"/>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单价</w:t>
            </w:r>
          </w:p>
        </w:tc>
        <w:tc>
          <w:tcPr>
            <w:tcW w:w="1278" w:type="dxa"/>
            <w:vAlign w:val="center"/>
          </w:tcPr>
          <w:p w14:paraId="456C2AED">
            <w:pPr>
              <w:spacing w:line="560" w:lineRule="exact"/>
              <w:jc w:val="center"/>
              <w:rPr>
                <w:rFonts w:ascii="宋体" w:hAnsi="宋体" w:eastAsia="宋体"/>
                <w:color w:val="auto"/>
                <w:kern w:val="0"/>
                <w:sz w:val="24"/>
                <w:szCs w:val="24"/>
              </w:rPr>
            </w:pPr>
            <w:r>
              <w:rPr>
                <w:rFonts w:hint="eastAsia" w:ascii="宋体" w:hAnsi="宋体" w:eastAsia="宋体"/>
                <w:color w:val="auto"/>
                <w:kern w:val="0"/>
                <w:sz w:val="24"/>
                <w:szCs w:val="24"/>
              </w:rPr>
              <w:t>数量</w:t>
            </w:r>
          </w:p>
        </w:tc>
        <w:tc>
          <w:tcPr>
            <w:tcW w:w="1727" w:type="dxa"/>
            <w:vAlign w:val="center"/>
          </w:tcPr>
          <w:p w14:paraId="49206A9E">
            <w:pPr>
              <w:spacing w:line="560" w:lineRule="exact"/>
              <w:jc w:val="center"/>
              <w:rPr>
                <w:rFonts w:hint="eastAsia" w:ascii="宋体" w:hAnsi="宋体" w:eastAsia="宋体"/>
                <w:color w:val="auto"/>
                <w:kern w:val="0"/>
                <w:sz w:val="24"/>
                <w:szCs w:val="24"/>
                <w:lang w:eastAsia="zh-CN"/>
              </w:rPr>
            </w:pPr>
            <w:r>
              <w:rPr>
                <w:rFonts w:hint="eastAsia" w:ascii="宋体" w:hAnsi="宋体" w:eastAsia="宋体"/>
                <w:color w:val="auto"/>
                <w:kern w:val="0"/>
                <w:sz w:val="24"/>
                <w:szCs w:val="24"/>
                <w:lang w:eastAsia="zh-CN"/>
              </w:rPr>
              <w:t>使用年限</w:t>
            </w:r>
          </w:p>
        </w:tc>
      </w:tr>
      <w:tr w14:paraId="3B5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2376" w:type="dxa"/>
            <w:vAlign w:val="center"/>
          </w:tcPr>
          <w:p w14:paraId="75E4EEB1">
            <w:pPr>
              <w:spacing w:line="560" w:lineRule="exact"/>
              <w:jc w:val="center"/>
              <w:rPr>
                <w:rFonts w:ascii="宋体" w:hAnsi="宋体" w:eastAsia="宋体"/>
                <w:color w:val="auto"/>
                <w:kern w:val="0"/>
                <w:sz w:val="24"/>
                <w:szCs w:val="24"/>
              </w:rPr>
            </w:pPr>
          </w:p>
          <w:p w14:paraId="057F46AA">
            <w:pPr>
              <w:spacing w:line="560" w:lineRule="exact"/>
              <w:jc w:val="center"/>
              <w:rPr>
                <w:rFonts w:ascii="宋体" w:hAnsi="宋体" w:eastAsia="宋体"/>
                <w:color w:val="auto"/>
                <w:kern w:val="0"/>
                <w:sz w:val="24"/>
                <w:szCs w:val="24"/>
              </w:rPr>
            </w:pPr>
          </w:p>
        </w:tc>
        <w:tc>
          <w:tcPr>
            <w:tcW w:w="1276" w:type="dxa"/>
            <w:vAlign w:val="center"/>
          </w:tcPr>
          <w:p w14:paraId="2696043F">
            <w:pPr>
              <w:spacing w:line="560" w:lineRule="exact"/>
              <w:jc w:val="center"/>
              <w:rPr>
                <w:rFonts w:ascii="宋体" w:hAnsi="宋体" w:eastAsia="宋体"/>
                <w:color w:val="auto"/>
                <w:kern w:val="0"/>
                <w:sz w:val="24"/>
                <w:szCs w:val="24"/>
              </w:rPr>
            </w:pPr>
          </w:p>
        </w:tc>
        <w:tc>
          <w:tcPr>
            <w:tcW w:w="1843" w:type="dxa"/>
            <w:vAlign w:val="center"/>
          </w:tcPr>
          <w:p w14:paraId="29020E81">
            <w:pPr>
              <w:spacing w:line="560" w:lineRule="exact"/>
              <w:jc w:val="center"/>
              <w:rPr>
                <w:rFonts w:ascii="宋体" w:hAnsi="宋体" w:eastAsia="宋体"/>
                <w:color w:val="auto"/>
                <w:kern w:val="0"/>
                <w:sz w:val="24"/>
                <w:szCs w:val="24"/>
              </w:rPr>
            </w:pPr>
          </w:p>
        </w:tc>
        <w:tc>
          <w:tcPr>
            <w:tcW w:w="1134" w:type="dxa"/>
            <w:vAlign w:val="center"/>
          </w:tcPr>
          <w:p w14:paraId="59134B63">
            <w:pPr>
              <w:spacing w:line="560" w:lineRule="exact"/>
              <w:jc w:val="center"/>
              <w:rPr>
                <w:rFonts w:ascii="宋体" w:hAnsi="宋体" w:eastAsia="宋体"/>
                <w:color w:val="auto"/>
                <w:kern w:val="0"/>
                <w:sz w:val="24"/>
                <w:szCs w:val="24"/>
              </w:rPr>
            </w:pPr>
          </w:p>
        </w:tc>
        <w:tc>
          <w:tcPr>
            <w:tcW w:w="1278" w:type="dxa"/>
            <w:vAlign w:val="center"/>
          </w:tcPr>
          <w:p w14:paraId="0C489061">
            <w:pPr>
              <w:spacing w:line="560" w:lineRule="exact"/>
              <w:jc w:val="center"/>
              <w:rPr>
                <w:rFonts w:ascii="宋体" w:hAnsi="宋体" w:eastAsia="宋体"/>
                <w:color w:val="auto"/>
                <w:kern w:val="0"/>
                <w:sz w:val="24"/>
                <w:szCs w:val="24"/>
              </w:rPr>
            </w:pPr>
          </w:p>
        </w:tc>
        <w:tc>
          <w:tcPr>
            <w:tcW w:w="1727" w:type="dxa"/>
            <w:vAlign w:val="center"/>
          </w:tcPr>
          <w:p w14:paraId="48005C1F">
            <w:pPr>
              <w:spacing w:line="560" w:lineRule="exact"/>
              <w:ind w:right="-101" w:rightChars="-48"/>
              <w:jc w:val="center"/>
              <w:rPr>
                <w:rFonts w:ascii="宋体" w:hAnsi="宋体" w:eastAsia="宋体"/>
                <w:color w:val="auto"/>
                <w:kern w:val="0"/>
                <w:sz w:val="24"/>
                <w:szCs w:val="24"/>
              </w:rPr>
            </w:pPr>
          </w:p>
        </w:tc>
      </w:tr>
      <w:tr w14:paraId="7705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jc w:val="center"/>
        </w:trPr>
        <w:tc>
          <w:tcPr>
            <w:tcW w:w="2376" w:type="dxa"/>
            <w:vAlign w:val="center"/>
          </w:tcPr>
          <w:p w14:paraId="7F4F1A07">
            <w:pPr>
              <w:spacing w:line="560" w:lineRule="exact"/>
              <w:jc w:val="center"/>
              <w:rPr>
                <w:rFonts w:ascii="宋体" w:hAnsi="宋体" w:eastAsia="宋体"/>
                <w:color w:val="auto"/>
                <w:kern w:val="0"/>
                <w:sz w:val="24"/>
                <w:szCs w:val="24"/>
              </w:rPr>
            </w:pPr>
          </w:p>
        </w:tc>
        <w:tc>
          <w:tcPr>
            <w:tcW w:w="1276" w:type="dxa"/>
            <w:vAlign w:val="center"/>
          </w:tcPr>
          <w:p w14:paraId="3663283E">
            <w:pPr>
              <w:spacing w:line="560" w:lineRule="exact"/>
              <w:jc w:val="center"/>
              <w:rPr>
                <w:rFonts w:ascii="宋体" w:hAnsi="宋体" w:eastAsia="宋体"/>
                <w:color w:val="auto"/>
                <w:kern w:val="0"/>
                <w:sz w:val="24"/>
                <w:szCs w:val="24"/>
              </w:rPr>
            </w:pPr>
          </w:p>
        </w:tc>
        <w:tc>
          <w:tcPr>
            <w:tcW w:w="1843" w:type="dxa"/>
            <w:vAlign w:val="center"/>
          </w:tcPr>
          <w:p w14:paraId="2160242D">
            <w:pPr>
              <w:spacing w:line="560" w:lineRule="exact"/>
              <w:jc w:val="center"/>
              <w:rPr>
                <w:rFonts w:ascii="宋体" w:hAnsi="宋体" w:eastAsia="宋体"/>
                <w:color w:val="auto"/>
                <w:kern w:val="0"/>
                <w:sz w:val="24"/>
                <w:szCs w:val="24"/>
              </w:rPr>
            </w:pPr>
          </w:p>
        </w:tc>
        <w:tc>
          <w:tcPr>
            <w:tcW w:w="1134" w:type="dxa"/>
            <w:vAlign w:val="center"/>
          </w:tcPr>
          <w:p w14:paraId="79F2DA7D">
            <w:pPr>
              <w:spacing w:line="560" w:lineRule="exact"/>
              <w:jc w:val="center"/>
              <w:rPr>
                <w:rFonts w:ascii="宋体" w:hAnsi="宋体" w:eastAsia="宋体"/>
                <w:color w:val="auto"/>
                <w:kern w:val="0"/>
                <w:sz w:val="24"/>
                <w:szCs w:val="24"/>
              </w:rPr>
            </w:pPr>
          </w:p>
        </w:tc>
        <w:tc>
          <w:tcPr>
            <w:tcW w:w="1278" w:type="dxa"/>
            <w:vAlign w:val="center"/>
          </w:tcPr>
          <w:p w14:paraId="57C4D080">
            <w:pPr>
              <w:spacing w:line="560" w:lineRule="exact"/>
              <w:jc w:val="center"/>
              <w:rPr>
                <w:rFonts w:ascii="宋体" w:hAnsi="宋体" w:eastAsia="宋体"/>
                <w:color w:val="auto"/>
                <w:kern w:val="0"/>
                <w:sz w:val="24"/>
                <w:szCs w:val="24"/>
              </w:rPr>
            </w:pPr>
          </w:p>
        </w:tc>
        <w:tc>
          <w:tcPr>
            <w:tcW w:w="1727" w:type="dxa"/>
            <w:vAlign w:val="center"/>
          </w:tcPr>
          <w:p w14:paraId="660080C7">
            <w:pPr>
              <w:spacing w:line="560" w:lineRule="exact"/>
              <w:jc w:val="center"/>
              <w:rPr>
                <w:rFonts w:ascii="宋体" w:hAnsi="宋体" w:eastAsia="宋体"/>
                <w:color w:val="auto"/>
                <w:kern w:val="0"/>
                <w:sz w:val="24"/>
                <w:szCs w:val="24"/>
              </w:rPr>
            </w:pPr>
          </w:p>
        </w:tc>
      </w:tr>
    </w:tbl>
    <w:p w14:paraId="7F43D498">
      <w:pPr>
        <w:spacing w:line="560" w:lineRule="exact"/>
        <w:rPr>
          <w:rFonts w:ascii="宋体" w:hAnsi="宋体" w:eastAsia="宋体"/>
          <w:b/>
          <w:color w:val="auto"/>
          <w:sz w:val="24"/>
          <w:szCs w:val="24"/>
        </w:rPr>
      </w:pPr>
      <w:r>
        <w:rPr>
          <w:rFonts w:hint="eastAsia" w:ascii="宋体" w:hAnsi="宋体" w:eastAsia="宋体"/>
          <w:b/>
          <w:color w:val="auto"/>
          <w:sz w:val="24"/>
          <w:szCs w:val="24"/>
        </w:rPr>
        <w:t>注</w:t>
      </w:r>
      <w:r>
        <w:rPr>
          <w:rFonts w:ascii="宋体" w:hAnsi="宋体" w:eastAsia="宋体"/>
          <w:b/>
          <w:color w:val="auto"/>
          <w:sz w:val="24"/>
          <w:szCs w:val="24"/>
        </w:rPr>
        <w:t>：</w:t>
      </w:r>
      <w:r>
        <w:rPr>
          <w:rFonts w:hint="eastAsia" w:ascii="宋体" w:hAnsi="宋体" w:eastAsia="宋体"/>
          <w:b/>
          <w:color w:val="auto"/>
          <w:sz w:val="24"/>
          <w:szCs w:val="24"/>
        </w:rPr>
        <w:t>表格</w:t>
      </w:r>
      <w:r>
        <w:rPr>
          <w:rFonts w:ascii="宋体" w:hAnsi="宋体" w:eastAsia="宋体"/>
          <w:b/>
          <w:color w:val="auto"/>
          <w:sz w:val="24"/>
          <w:szCs w:val="24"/>
        </w:rPr>
        <w:t>内容不得涂改，否则报价单无效。</w:t>
      </w:r>
      <w:r>
        <w:rPr>
          <w:rFonts w:hint="eastAsia" w:ascii="宋体" w:hAnsi="宋体" w:eastAsia="宋体"/>
          <w:b/>
          <w:color w:val="auto"/>
          <w:sz w:val="24"/>
          <w:szCs w:val="24"/>
        </w:rPr>
        <w:t>设备</w:t>
      </w:r>
      <w:r>
        <w:rPr>
          <w:rFonts w:ascii="宋体" w:hAnsi="宋体" w:eastAsia="宋体"/>
          <w:b/>
          <w:color w:val="auto"/>
          <w:sz w:val="24"/>
          <w:szCs w:val="24"/>
        </w:rPr>
        <w:t>主要参数</w:t>
      </w:r>
      <w:r>
        <w:rPr>
          <w:rFonts w:hint="eastAsia" w:ascii="宋体" w:hAnsi="宋体" w:eastAsia="宋体"/>
          <w:b/>
          <w:color w:val="auto"/>
          <w:sz w:val="24"/>
          <w:szCs w:val="24"/>
        </w:rPr>
        <w:t>以</w:t>
      </w:r>
      <w:r>
        <w:rPr>
          <w:rFonts w:ascii="宋体" w:hAnsi="宋体" w:eastAsia="宋体"/>
          <w:b/>
          <w:color w:val="auto"/>
          <w:sz w:val="24"/>
          <w:szCs w:val="24"/>
        </w:rPr>
        <w:t>附件方式提供。</w:t>
      </w:r>
    </w:p>
    <w:p w14:paraId="36033BC8">
      <w:pPr>
        <w:spacing w:line="560" w:lineRule="exact"/>
        <w:rPr>
          <w:rFonts w:ascii="宋体" w:hAnsi="宋体" w:eastAsia="宋体"/>
          <w:color w:val="auto"/>
          <w:sz w:val="24"/>
          <w:szCs w:val="24"/>
        </w:rPr>
      </w:pPr>
      <w:r>
        <w:rPr>
          <w:rFonts w:hint="eastAsia" w:ascii="宋体" w:hAnsi="宋体" w:eastAsia="宋体"/>
          <w:color w:val="auto"/>
          <w:sz w:val="24"/>
          <w:szCs w:val="24"/>
        </w:rPr>
        <w:t>售后</w:t>
      </w:r>
      <w:r>
        <w:rPr>
          <w:rFonts w:ascii="宋体" w:hAnsi="宋体" w:eastAsia="宋体"/>
          <w:color w:val="auto"/>
          <w:sz w:val="24"/>
          <w:szCs w:val="24"/>
        </w:rPr>
        <w:t>服务承诺：</w:t>
      </w:r>
    </w:p>
    <w:p w14:paraId="58F215B5">
      <w:pPr>
        <w:spacing w:line="560" w:lineRule="exact"/>
        <w:rPr>
          <w:rFonts w:ascii="宋体" w:hAnsi="宋体" w:eastAsia="宋体"/>
          <w:color w:val="auto"/>
          <w:sz w:val="24"/>
          <w:szCs w:val="24"/>
        </w:rPr>
      </w:pPr>
      <w:r>
        <w:rPr>
          <w:rFonts w:hint="eastAsia" w:ascii="宋体" w:hAnsi="宋体" w:eastAsia="宋体"/>
          <w:color w:val="auto"/>
          <w:sz w:val="24"/>
          <w:szCs w:val="24"/>
        </w:rPr>
        <w:t>保修</w:t>
      </w:r>
      <w:r>
        <w:rPr>
          <w:rFonts w:ascii="宋体" w:hAnsi="宋体" w:eastAsia="宋体"/>
          <w:color w:val="auto"/>
          <w:sz w:val="24"/>
          <w:szCs w:val="24"/>
        </w:rPr>
        <w:t>年限</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设</w:t>
      </w:r>
      <w:r>
        <w:rPr>
          <w:rFonts w:ascii="宋体" w:hAnsi="宋体" w:eastAsia="宋体"/>
          <w:color w:val="auto"/>
          <w:sz w:val="24"/>
          <w:szCs w:val="24"/>
        </w:rPr>
        <w:t>有</w:t>
      </w:r>
      <w:r>
        <w:rPr>
          <w:rFonts w:hint="eastAsia" w:ascii="宋体" w:hAnsi="宋体" w:eastAsia="宋体"/>
          <w:color w:val="auto"/>
          <w:sz w:val="24"/>
          <w:szCs w:val="24"/>
        </w:rPr>
        <w:t>维修</w:t>
      </w:r>
      <w:r>
        <w:rPr>
          <w:rFonts w:ascii="宋体" w:hAnsi="宋体" w:eastAsia="宋体"/>
          <w:color w:val="auto"/>
          <w:sz w:val="24"/>
          <w:szCs w:val="24"/>
        </w:rPr>
        <w:t>点。质量保修期内若产品在运行中发生问题，乙方在</w:t>
      </w:r>
      <w:r>
        <w:rPr>
          <w:rFonts w:ascii="宋体" w:hAnsi="宋体" w:eastAsia="宋体"/>
          <w:color w:val="auto"/>
          <w:sz w:val="24"/>
          <w:szCs w:val="24"/>
          <w:u w:val="single"/>
        </w:rPr>
        <w:t xml:space="preserve">   </w:t>
      </w:r>
      <w:r>
        <w:rPr>
          <w:rFonts w:ascii="宋体" w:hAnsi="宋体" w:eastAsia="宋体"/>
          <w:color w:val="auto"/>
          <w:sz w:val="24"/>
          <w:szCs w:val="24"/>
        </w:rPr>
        <w:t>小时内派专业技术人员到现场进行维修和更换零部件或更换新产品等服务。质量保修期后，乙方有接到</w:t>
      </w:r>
      <w:r>
        <w:rPr>
          <w:rFonts w:hint="eastAsia" w:ascii="宋体" w:hAnsi="宋体" w:eastAsia="宋体"/>
          <w:color w:val="auto"/>
          <w:sz w:val="24"/>
          <w:szCs w:val="24"/>
        </w:rPr>
        <w:t>故</w:t>
      </w:r>
      <w:r>
        <w:rPr>
          <w:rFonts w:ascii="宋体" w:hAnsi="宋体" w:eastAsia="宋体"/>
          <w:color w:val="auto"/>
          <w:sz w:val="24"/>
          <w:szCs w:val="24"/>
        </w:rPr>
        <w:t>障处理通知的，技术人员在</w:t>
      </w:r>
      <w:r>
        <w:rPr>
          <w:rFonts w:ascii="宋体" w:hAnsi="宋体" w:eastAsia="宋体"/>
          <w:color w:val="auto"/>
          <w:sz w:val="24"/>
          <w:szCs w:val="24"/>
          <w:u w:val="single"/>
        </w:rPr>
        <w:t xml:space="preserve">    </w:t>
      </w:r>
      <w:r>
        <w:rPr>
          <w:rFonts w:ascii="宋体" w:hAnsi="宋体" w:eastAsia="宋体"/>
          <w:color w:val="auto"/>
          <w:sz w:val="24"/>
          <w:szCs w:val="24"/>
        </w:rPr>
        <w:t>小时内到达采购人地点做好产品维修。</w:t>
      </w:r>
    </w:p>
    <w:p w14:paraId="6DF0C61E">
      <w:pPr>
        <w:spacing w:line="560" w:lineRule="exact"/>
        <w:rPr>
          <w:rFonts w:ascii="宋体" w:hAnsi="宋体" w:eastAsia="宋体"/>
          <w:color w:val="auto"/>
          <w:sz w:val="24"/>
          <w:szCs w:val="24"/>
        </w:rPr>
      </w:pPr>
      <w:r>
        <w:rPr>
          <w:rFonts w:hint="eastAsia" w:ascii="宋体" w:hAnsi="宋体" w:eastAsia="宋体"/>
          <w:color w:val="auto"/>
          <w:sz w:val="24"/>
          <w:szCs w:val="24"/>
        </w:rPr>
        <w:t>如</w:t>
      </w:r>
      <w:r>
        <w:rPr>
          <w:rFonts w:ascii="宋体" w:hAnsi="宋体" w:eastAsia="宋体"/>
          <w:color w:val="auto"/>
          <w:sz w:val="24"/>
          <w:szCs w:val="24"/>
        </w:rPr>
        <w:t>有配套耗材，</w:t>
      </w:r>
      <w:r>
        <w:rPr>
          <w:rFonts w:hint="eastAsia" w:ascii="宋体" w:hAnsi="宋体" w:eastAsia="宋体"/>
          <w:color w:val="auto"/>
          <w:sz w:val="24"/>
          <w:szCs w:val="24"/>
        </w:rPr>
        <w:t>请</w:t>
      </w:r>
      <w:r>
        <w:rPr>
          <w:rFonts w:ascii="宋体" w:hAnsi="宋体" w:eastAsia="宋体"/>
          <w:color w:val="auto"/>
          <w:sz w:val="24"/>
          <w:szCs w:val="24"/>
        </w:rPr>
        <w:t>在下方进行报价</w:t>
      </w:r>
      <w:r>
        <w:rPr>
          <w:rFonts w:hint="eastAsia" w:ascii="宋体" w:hAnsi="宋体" w:eastAsia="宋体"/>
          <w:color w:val="auto"/>
          <w:sz w:val="24"/>
          <w:szCs w:val="24"/>
        </w:rPr>
        <w:t>（不</w:t>
      </w:r>
      <w:r>
        <w:rPr>
          <w:rFonts w:ascii="宋体" w:hAnsi="宋体" w:eastAsia="宋体"/>
          <w:color w:val="auto"/>
          <w:sz w:val="24"/>
          <w:szCs w:val="24"/>
        </w:rPr>
        <w:t>够可另附纸）</w:t>
      </w:r>
      <w:r>
        <w:rPr>
          <w:rFonts w:hint="eastAsia" w:ascii="宋体" w:hAnsi="宋体" w:eastAsia="宋体"/>
          <w:color w:val="auto"/>
          <w:sz w:val="24"/>
          <w:szCs w:val="24"/>
        </w:rPr>
        <w:t>。</w:t>
      </w:r>
    </w:p>
    <w:p w14:paraId="28819288">
      <w:pPr>
        <w:spacing w:line="560" w:lineRule="exact"/>
        <w:rPr>
          <w:rFonts w:ascii="宋体" w:hAnsi="宋体" w:eastAsia="宋体"/>
          <w:color w:val="auto"/>
          <w:sz w:val="24"/>
          <w:szCs w:val="24"/>
        </w:rPr>
      </w:pPr>
    </w:p>
    <w:p w14:paraId="20929E8B">
      <w:pPr>
        <w:spacing w:line="560" w:lineRule="exact"/>
        <w:rPr>
          <w:rFonts w:ascii="宋体" w:hAnsi="宋体" w:eastAsia="宋体"/>
          <w:color w:val="auto"/>
          <w:sz w:val="24"/>
          <w:szCs w:val="24"/>
        </w:rPr>
      </w:pPr>
    </w:p>
    <w:p w14:paraId="15B7ACAC">
      <w:pPr>
        <w:spacing w:line="560" w:lineRule="exact"/>
        <w:rPr>
          <w:rFonts w:ascii="仿宋_GB2312" w:hAnsi="仿宋" w:eastAsia="仿宋_GB2312" w:cs="宋体"/>
          <w:color w:val="auto"/>
          <w:kern w:val="0"/>
          <w:sz w:val="28"/>
          <w:szCs w:val="28"/>
        </w:rPr>
      </w:pPr>
    </w:p>
    <w:p w14:paraId="14FD137F">
      <w:pPr>
        <w:spacing w:line="560" w:lineRule="exact"/>
        <w:rPr>
          <w:rFonts w:ascii="仿宋_GB2312" w:hAnsi="仿宋" w:eastAsia="仿宋_GB2312" w:cs="宋体"/>
          <w:color w:val="auto"/>
          <w:kern w:val="0"/>
          <w:sz w:val="28"/>
          <w:szCs w:val="28"/>
        </w:rPr>
      </w:pPr>
    </w:p>
    <w:p w14:paraId="28A2133A">
      <w:pPr>
        <w:spacing w:line="560" w:lineRule="exact"/>
        <w:rPr>
          <w:rFonts w:ascii="仿宋_GB2312" w:hAnsi="仿宋" w:eastAsia="仿宋_GB2312" w:cs="宋体"/>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93"/>
    <w:rsid w:val="0001184E"/>
    <w:rsid w:val="00024FE1"/>
    <w:rsid w:val="00045B68"/>
    <w:rsid w:val="0006621B"/>
    <w:rsid w:val="00074644"/>
    <w:rsid w:val="00091044"/>
    <w:rsid w:val="001231EB"/>
    <w:rsid w:val="001A6F5E"/>
    <w:rsid w:val="001B45CE"/>
    <w:rsid w:val="0021031E"/>
    <w:rsid w:val="00234A59"/>
    <w:rsid w:val="00250911"/>
    <w:rsid w:val="00261D19"/>
    <w:rsid w:val="00262393"/>
    <w:rsid w:val="00272797"/>
    <w:rsid w:val="002917BB"/>
    <w:rsid w:val="0029220C"/>
    <w:rsid w:val="00295023"/>
    <w:rsid w:val="002C0102"/>
    <w:rsid w:val="002F0105"/>
    <w:rsid w:val="00305E0E"/>
    <w:rsid w:val="0032199A"/>
    <w:rsid w:val="003344D6"/>
    <w:rsid w:val="00385807"/>
    <w:rsid w:val="003969E9"/>
    <w:rsid w:val="003A2FE6"/>
    <w:rsid w:val="003C129A"/>
    <w:rsid w:val="003F2150"/>
    <w:rsid w:val="00420A56"/>
    <w:rsid w:val="00463037"/>
    <w:rsid w:val="00475B67"/>
    <w:rsid w:val="00490A9C"/>
    <w:rsid w:val="004B41E3"/>
    <w:rsid w:val="004C3CFD"/>
    <w:rsid w:val="004D1AD6"/>
    <w:rsid w:val="004E5D01"/>
    <w:rsid w:val="005458B9"/>
    <w:rsid w:val="00547B52"/>
    <w:rsid w:val="00580762"/>
    <w:rsid w:val="00585AF5"/>
    <w:rsid w:val="00655651"/>
    <w:rsid w:val="006774C7"/>
    <w:rsid w:val="006C1EFE"/>
    <w:rsid w:val="006D0957"/>
    <w:rsid w:val="006D7EB5"/>
    <w:rsid w:val="006E7DCB"/>
    <w:rsid w:val="00702457"/>
    <w:rsid w:val="00714763"/>
    <w:rsid w:val="007636D5"/>
    <w:rsid w:val="007825AC"/>
    <w:rsid w:val="007A77CF"/>
    <w:rsid w:val="007A7A3B"/>
    <w:rsid w:val="00817D07"/>
    <w:rsid w:val="008252E3"/>
    <w:rsid w:val="0082748A"/>
    <w:rsid w:val="008418BA"/>
    <w:rsid w:val="00884065"/>
    <w:rsid w:val="008E3B54"/>
    <w:rsid w:val="009334E6"/>
    <w:rsid w:val="009A1FDD"/>
    <w:rsid w:val="009C3019"/>
    <w:rsid w:val="00A31B63"/>
    <w:rsid w:val="00A4154E"/>
    <w:rsid w:val="00A41AAC"/>
    <w:rsid w:val="00A509C7"/>
    <w:rsid w:val="00A51969"/>
    <w:rsid w:val="00AA210C"/>
    <w:rsid w:val="00AA2D7C"/>
    <w:rsid w:val="00AE43C7"/>
    <w:rsid w:val="00AF5915"/>
    <w:rsid w:val="00B00C87"/>
    <w:rsid w:val="00B040E5"/>
    <w:rsid w:val="00B04867"/>
    <w:rsid w:val="00B1660E"/>
    <w:rsid w:val="00B35629"/>
    <w:rsid w:val="00B7067B"/>
    <w:rsid w:val="00B91566"/>
    <w:rsid w:val="00BB018B"/>
    <w:rsid w:val="00BB3026"/>
    <w:rsid w:val="00BC0163"/>
    <w:rsid w:val="00BC4E3A"/>
    <w:rsid w:val="00BC7B1A"/>
    <w:rsid w:val="00BD315B"/>
    <w:rsid w:val="00BF4842"/>
    <w:rsid w:val="00BF6F24"/>
    <w:rsid w:val="00BF7C23"/>
    <w:rsid w:val="00C3330D"/>
    <w:rsid w:val="00C375D5"/>
    <w:rsid w:val="00C40627"/>
    <w:rsid w:val="00C530DD"/>
    <w:rsid w:val="00C601BB"/>
    <w:rsid w:val="00CA5D97"/>
    <w:rsid w:val="00CB6FF6"/>
    <w:rsid w:val="00CE41D7"/>
    <w:rsid w:val="00CF1570"/>
    <w:rsid w:val="00D0301A"/>
    <w:rsid w:val="00D15758"/>
    <w:rsid w:val="00D27577"/>
    <w:rsid w:val="00D325BF"/>
    <w:rsid w:val="00D42956"/>
    <w:rsid w:val="00D54841"/>
    <w:rsid w:val="00DB25E7"/>
    <w:rsid w:val="00DC0D32"/>
    <w:rsid w:val="00DD02DA"/>
    <w:rsid w:val="00DD0D4F"/>
    <w:rsid w:val="00DF6B89"/>
    <w:rsid w:val="00E23F69"/>
    <w:rsid w:val="00E35305"/>
    <w:rsid w:val="00E53E3F"/>
    <w:rsid w:val="00E71019"/>
    <w:rsid w:val="00E855D3"/>
    <w:rsid w:val="00E87BF7"/>
    <w:rsid w:val="00EB6C02"/>
    <w:rsid w:val="00EC6B0B"/>
    <w:rsid w:val="00EE24DD"/>
    <w:rsid w:val="00EE65EF"/>
    <w:rsid w:val="00F12440"/>
    <w:rsid w:val="00F31370"/>
    <w:rsid w:val="00F32843"/>
    <w:rsid w:val="00F96619"/>
    <w:rsid w:val="00F9790A"/>
    <w:rsid w:val="00FC199C"/>
    <w:rsid w:val="00FC5686"/>
    <w:rsid w:val="00FE723E"/>
    <w:rsid w:val="00FF2394"/>
    <w:rsid w:val="00FF43CF"/>
    <w:rsid w:val="04B626D8"/>
    <w:rsid w:val="08107803"/>
    <w:rsid w:val="0A8401E3"/>
    <w:rsid w:val="10CB1A9D"/>
    <w:rsid w:val="1C3A455D"/>
    <w:rsid w:val="1D8D738A"/>
    <w:rsid w:val="2040222E"/>
    <w:rsid w:val="241B7445"/>
    <w:rsid w:val="27F81620"/>
    <w:rsid w:val="2C3C542B"/>
    <w:rsid w:val="3000277D"/>
    <w:rsid w:val="30AC3BC2"/>
    <w:rsid w:val="313E3F14"/>
    <w:rsid w:val="38956C7A"/>
    <w:rsid w:val="39E26B89"/>
    <w:rsid w:val="3A232FD0"/>
    <w:rsid w:val="3BBA232E"/>
    <w:rsid w:val="3D311758"/>
    <w:rsid w:val="400B3158"/>
    <w:rsid w:val="41992EDC"/>
    <w:rsid w:val="41D24018"/>
    <w:rsid w:val="449A51A0"/>
    <w:rsid w:val="474544FA"/>
    <w:rsid w:val="49DE63B9"/>
    <w:rsid w:val="4AA74645"/>
    <w:rsid w:val="537A1584"/>
    <w:rsid w:val="5D4E3213"/>
    <w:rsid w:val="5E20206C"/>
    <w:rsid w:val="5E2A50E5"/>
    <w:rsid w:val="698A2A32"/>
    <w:rsid w:val="6D872D21"/>
    <w:rsid w:val="6E95075C"/>
    <w:rsid w:val="74241484"/>
    <w:rsid w:val="7A6D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1"/>
    <w:basedOn w:val="1"/>
    <w:qFormat/>
    <w:uiPriority w:val="0"/>
    <w:pPr>
      <w:widowControl/>
    </w:pPr>
    <w:rPr>
      <w:rFonts w:ascii="宋体" w:hAnsi="宋体" w:eastAsia="宋体" w:cs="宋体"/>
      <w:szCs w:val="21"/>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3146</Words>
  <Characters>3712</Characters>
  <Lines>16</Lines>
  <Paragraphs>4</Paragraphs>
  <TotalTime>89</TotalTime>
  <ScaleCrop>false</ScaleCrop>
  <LinksUpToDate>false</LinksUpToDate>
  <CharactersWithSpaces>3817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2022-02-16T06:50:00Z</dcterms:created>
  <dc:creator>黄志民</dc:creator>
  <cp:lastModifiedBy>纯粹。</cp:lastModifiedBy>
  <dcterms:modified xsi:type="dcterms:W3CDTF">2025-06-05T07:27:43Z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72FECDCAC2D84BA1A291697ED53E728C_12</vt:lpwstr>
  </property>
  <property fmtid="{D5CDD505-2E9C-101B-9397-08002B2CF9AE}" pid="4" name="KSOTemplateDocerSaveRecord">
    <vt:lpwstr>eyJoZGlkIjoiYzk5YmMxNDczMzNhNmYyMzMyNmE5YzgyNDczODRhMzQiLCJ1c2VySWQiOiI2MTg2NTE5NzkifQ==</vt:lpwstr>
  </property>
</Properties>
</file>