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eastAsia="方正小标宋简体" w:cs="Times New Roman"/>
          <w:spacing w:val="100"/>
          <w:w w:val="70"/>
          <w:sz w:val="44"/>
          <w:szCs w:val="44"/>
        </w:rPr>
      </w:pPr>
    </w:p>
    <w:p>
      <w:pPr>
        <w:pStyle w:val="14"/>
        <w:rPr>
          <w:rFonts w:hint="default" w:ascii="Times New Roman" w:hAnsi="Times New Roman" w:eastAsia="方正小标宋简体" w:cs="Times New Roman"/>
          <w:spacing w:val="100"/>
          <w:w w:val="70"/>
          <w:sz w:val="44"/>
          <w:szCs w:val="44"/>
        </w:rPr>
      </w:pPr>
    </w:p>
    <w:p>
      <w:pPr>
        <w:pStyle w:val="14"/>
        <w:ind w:left="0" w:leftChars="0" w:firstLine="0" w:firstLineChars="0"/>
        <w:rPr>
          <w:rFonts w:hint="default" w:ascii="Times New Roman" w:hAnsi="Times New Roman" w:eastAsia="方正小标宋简体" w:cs="Times New Roman"/>
          <w:spacing w:val="100"/>
          <w:w w:val="70"/>
          <w:sz w:val="44"/>
          <w:szCs w:val="44"/>
        </w:rPr>
      </w:pPr>
    </w:p>
    <w:p>
      <w:pPr>
        <w:spacing w:line="680" w:lineRule="exact"/>
        <w:rPr>
          <w:rFonts w:hint="default" w:ascii="Times New Roman" w:hAnsi="Times New Roman" w:eastAsia="方正小标宋简体" w:cs="Times New Roman"/>
          <w:spacing w:val="100"/>
          <w:w w:val="70"/>
          <w:sz w:val="44"/>
          <w:szCs w:val="44"/>
        </w:rPr>
      </w:pPr>
    </w:p>
    <w:p>
      <w:pPr>
        <w:pStyle w:val="23"/>
        <w:ind w:left="0" w:leftChars="0" w:firstLine="0" w:firstLineChars="0"/>
        <w:rPr>
          <w:rFonts w:hint="default" w:ascii="Times New Roman" w:hAnsi="Times New Roman" w:cs="Times New Roman"/>
        </w:rPr>
      </w:pPr>
    </w:p>
    <w:p>
      <w:pPr>
        <w:pStyle w:val="23"/>
        <w:ind w:left="0" w:leftChars="0" w:firstLine="0" w:firstLineChars="0"/>
        <w:rPr>
          <w:rFonts w:hint="default" w:ascii="Times New Roman" w:hAnsi="Times New Roman" w:cs="Times New Roman"/>
        </w:rPr>
      </w:pPr>
    </w:p>
    <w:p>
      <w:pPr>
        <w:tabs>
          <w:tab w:val="left" w:pos="8295"/>
          <w:tab w:val="left" w:pos="8640"/>
        </w:tabs>
        <w:spacing w:before="120" w:beforeLines="50" w:line="500" w:lineRule="exact"/>
        <w:ind w:right="147" w:rightChars="46"/>
        <w:jc w:val="center"/>
        <w:rPr>
          <w:rFonts w:hint="eastAsia" w:ascii="Times New Roman" w:hAnsi="Times New Roman" w:eastAsia="仿宋_GB2312" w:cs="Times New Roman"/>
          <w:lang w:val="en-US" w:eastAsia="zh-CN"/>
        </w:rPr>
      </w:pPr>
      <w:commentRangeStart w:id="0"/>
      <w:r>
        <w:rPr>
          <w:rFonts w:hint="default" w:ascii="Times New Roman" w:hAnsi="Times New Roman" w:cs="Times New Roman"/>
        </w:rPr>
        <w:t>晋卫健</w:t>
      </w:r>
      <w:commentRangeEnd w:id="0"/>
      <w:r>
        <w:rPr>
          <w:rFonts w:hint="default" w:ascii="Times New Roman" w:hAnsi="Times New Roman" w:cs="Times New Roman"/>
        </w:rPr>
        <w:commentReference w:id="0"/>
      </w:r>
      <w:commentRangeStart w:id="1"/>
      <w:r>
        <w:rPr>
          <w:rFonts w:hint="default" w:ascii="Times New Roman" w:hAnsi="Times New Roman" w:cs="Times New Roman"/>
        </w:rPr>
        <w:t>〔</w:t>
      </w:r>
      <w:commentRangeEnd w:id="1"/>
      <w:r>
        <w:rPr>
          <w:rFonts w:hint="default" w:ascii="Times New Roman" w:hAnsi="Times New Roman" w:cs="Times New Roman"/>
        </w:rPr>
        <w:commentReference w:id="1"/>
      </w:r>
      <w:commentRangeStart w:id="2"/>
      <w:r>
        <w:rPr>
          <w:rFonts w:hint="default" w:ascii="Times New Roman" w:hAnsi="Times New Roman" w:cs="Times New Roman"/>
        </w:rPr>
        <w:t>202</w:t>
      </w:r>
      <w:commentRangeEnd w:id="2"/>
      <w:r>
        <w:rPr>
          <w:rFonts w:hint="default" w:ascii="Times New Roman" w:hAnsi="Times New Roman" w:cs="Times New Roman"/>
        </w:rPr>
        <w:commentReference w:id="2"/>
      </w:r>
      <w:r>
        <w:rPr>
          <w:rFonts w:hint="default" w:ascii="Times New Roman" w:hAnsi="Times New Roman" w:cs="Times New Roman"/>
        </w:rPr>
        <w:t>1〕</w:t>
      </w:r>
      <w:r>
        <w:rPr>
          <w:rFonts w:hint="eastAsia" w:ascii="Times New Roman" w:cs="Times New Roman"/>
          <w:lang w:val="en-US" w:eastAsia="zh-CN"/>
        </w:rPr>
        <w:t>121</w:t>
      </w:r>
      <w:r>
        <w:rPr>
          <w:rFonts w:hint="default" w:ascii="Times New Roman" w:hAnsi="Times New Roman" w:cs="Times New Roman"/>
        </w:rPr>
        <w:t>号</w:t>
      </w:r>
      <w:r>
        <w:rPr>
          <w:rFonts w:hint="default" w:ascii="Times New Roman" w:hAnsi="Times New Roman" w:cs="Times New Roman"/>
        </w:rPr>
        <w:commentReference w:id="3"/>
      </w:r>
      <w:r>
        <w:rPr>
          <w:rFonts w:hint="default" w:ascii="Times New Roman" w:hAnsi="Times New Roman" w:cs="Times New Roman"/>
        </w:rPr>
        <w:commentReference w:id="4"/>
      </w:r>
    </w:p>
    <w:p>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rPr>
      </w:pPr>
    </w:p>
    <w:p>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0"/>
          <w:rFonts w:hint="eastAsia" w:ascii="方正小标宋简体" w:hAnsi="方正小标宋简体" w:eastAsia="方正小标宋简体" w:cs="方正小标宋简体"/>
          <w:b w:val="0"/>
          <w:bCs/>
          <w:color w:val="000000" w:themeColor="text1"/>
          <w:spacing w:val="0"/>
          <w:sz w:val="44"/>
          <w:szCs w:val="44"/>
        </w:rPr>
      </w:pPr>
      <w:r>
        <w:rPr>
          <w:rStyle w:val="20"/>
          <w:rFonts w:hint="eastAsia" w:ascii="方正小标宋简体" w:hAnsi="方正小标宋简体" w:eastAsia="方正小标宋简体" w:cs="方正小标宋简体"/>
          <w:b w:val="0"/>
          <w:bCs/>
          <w:color w:val="000000" w:themeColor="text1"/>
          <w:spacing w:val="0"/>
          <w:sz w:val="44"/>
          <w:szCs w:val="44"/>
        </w:rPr>
        <w:t>晋江市卫生健康局</w:t>
      </w:r>
      <w:bookmarkStart w:id="0" w:name="L2A"/>
      <w:bookmarkEnd w:id="0"/>
      <w:r>
        <w:rPr>
          <w:rStyle w:val="20"/>
          <w:rFonts w:hint="eastAsia" w:ascii="方正小标宋简体" w:hAnsi="方正小标宋简体" w:eastAsia="方正小标宋简体" w:cs="方正小标宋简体"/>
          <w:b w:val="0"/>
          <w:bCs/>
          <w:color w:val="000000" w:themeColor="text1"/>
          <w:spacing w:val="0"/>
          <w:sz w:val="44"/>
          <w:szCs w:val="44"/>
        </w:rPr>
        <w:t>关于开展2021年福建省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rPr>
      </w:pPr>
      <w:r>
        <w:rPr>
          <w:rStyle w:val="20"/>
          <w:rFonts w:hint="eastAsia" w:ascii="方正小标宋简体" w:hAnsi="方正小标宋简体" w:eastAsia="方正小标宋简体" w:cs="方正小标宋简体"/>
          <w:b w:val="0"/>
          <w:bCs/>
          <w:color w:val="000000" w:themeColor="text1"/>
          <w:spacing w:val="0"/>
          <w:sz w:val="44"/>
          <w:szCs w:val="44"/>
        </w:rPr>
        <w:t>乡村医生规范培训远程视频教学的通知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20"/>
          <w:rFonts w:hint="default" w:ascii="Times New Roman" w:hAnsi="Times New Roman" w:eastAsia="仿宋_GB2312" w:cs="Times New Roman"/>
          <w:b w:val="0"/>
          <w:bCs/>
          <w:color w:val="000000" w:themeColor="text1"/>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各镇（中心）卫生院、街道社区卫生服务中心</w:t>
      </w:r>
      <w:r>
        <w:rPr>
          <w:rFonts w:hint="eastAsia"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根据省卫健委部署，福建省乡村医生培训中心定于2021年7月12日起开展2021年度福建省乡村医生规范培训远程视频教学。现将有关事项通知如下：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一、培训的目标任务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落实省委、省政府《关于进一步深化医药卫生体制改革的意见》精神。并结合我省乡村医生规范培训工作任务，以基础知识、基本理论、基本技术和方法为重点，以胜任岗位工作为基本目标，结合原卫生部办公厅制订的《乡村医生在岗培训基本要求》、乡村全科助理医师考试大纲要求和农村居民基本医疗卫生保健需求</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采用网络为主的远程教育培训方式，通过自主学习、网络交流、任务驱动等形式，重点加强医学人文、公共卫生知识、全科医疗、中医适宜技术应用等基本知识技能方面的培训，提高乡村医生解决常见健康问题的专业素质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二、培训对象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依法取得乡村医生执业证书（含取得乡村医生证书的）、执业（助理）医师资格，经卫健局注册后在村卫生所（社区卫生服务站）执业的乡村医生。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三、培训时间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2021年7月12日～2021年10月30日。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四、培训内容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2021年培训内容分为必修课程和选修课程两个部分。其中必修课程共60学时，选修课程40学时（选修课程不做强制要求，可自主选择学习</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具体课程内容详见附件1）。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五、培训方式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本次培训采取网络在线方式进行，参加培训人员登录</w:t>
      </w:r>
      <w:r>
        <w:rPr>
          <w:rFonts w:hint="default" w:ascii="Times New Roman" w:hAnsi="Times New Roman" w:eastAsia="仿宋_GB2312" w:cs="Times New Roman"/>
          <w:color w:val="000000"/>
          <w:sz w:val="32"/>
          <w:szCs w:val="32"/>
        </w:rPr>
        <w:t>http://fjxy.91huayi.com/</w:t>
      </w:r>
      <w:r>
        <w:rPr>
          <w:rFonts w:hint="default" w:ascii="Times New Roman" w:hAnsi="Times New Roman" w:eastAsia="仿宋_GB2312" w:cs="Times New Roman"/>
          <w:sz w:val="32"/>
          <w:szCs w:val="32"/>
        </w:rPr>
        <w:t>或手机下载“掌上华医”APP进入福建省乡村医生规范培训平台，输入用户名和密码进行登录后即可进行在线学习。为便于乡村医生继续学习巩固课件内容，乡村医生可结合实际工作需求，有重点、有选择地进行多次学习，随时学习，真正做到学有所用、学以致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（一）远程视频教学按照“按需施教、过程监管、讲求实效”的原则，由乡村医生自主学习。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按规定完成各个培训环节。本次远程视频教学在线培训包括在线视频学习、单元作业、全部视频学习完成后的模拟测试、问卷调查和在线考试五个环节，环环相扣。如上一环节没有完成，则不能进入下一环节。所有必修课程学完后才可以参加在线考试，总成绩为100分，成绩60分为合格，可以允许多次考试直至考试通过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（三）2021年开始新增的选修课程不做考核要求，由学员结合实际需求自行选择学习内容。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镇（中心）卫生院、街道社区卫生服务中心请及时跟踪督促学员按照学习时间节点完成必修课程内容学习并通过考试，卫校将按照管理权限，实时在线监控培训进度和效果，并对学习进度进行督导通报，做好培训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10"/>
          <w:sz w:val="32"/>
          <w:szCs w:val="32"/>
          <w:lang w:eastAsia="zh-CN"/>
        </w:rPr>
      </w:pPr>
      <w:r>
        <w:rPr>
          <w:rFonts w:hint="default" w:ascii="Times New Roman" w:hAnsi="Times New Roman" w:eastAsia="仿宋_GB2312" w:cs="Times New Roman"/>
          <w:sz w:val="32"/>
          <w:szCs w:val="32"/>
        </w:rPr>
        <w:t>附件</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10"/>
          <w:sz w:val="32"/>
          <w:szCs w:val="32"/>
        </w:rPr>
        <w:t>2021年远程视频教学课程与参考学时</w:t>
      </w:r>
      <w:r>
        <w:rPr>
          <w:rFonts w:hint="eastAsia" w:ascii="Times New Roman" w:hAnsi="Times New Roman" w:cs="Times New Roman"/>
          <w:spacing w:val="-10"/>
          <w:sz w:val="32"/>
          <w:szCs w:val="32"/>
          <w:lang w:eastAsia="zh-CN"/>
        </w:rPr>
        <w:t>（</w:t>
      </w:r>
      <w:r>
        <w:rPr>
          <w:rFonts w:hint="default" w:ascii="Times New Roman" w:hAnsi="Times New Roman" w:eastAsia="仿宋_GB2312" w:cs="Times New Roman"/>
          <w:spacing w:val="-10"/>
          <w:sz w:val="32"/>
          <w:szCs w:val="32"/>
        </w:rPr>
        <w:t>选修、必修</w:t>
      </w:r>
      <w:r>
        <w:rPr>
          <w:rFonts w:hint="eastAsia" w:ascii="Times New Roman" w:hAnsi="Times New Roman" w:cs="Times New Roman"/>
          <w:spacing w:val="-1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920" w:leftChars="5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学员登入福建省乡村医生规范化培训网络平台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操作流程</w:t>
      </w:r>
    </w:p>
    <w:p>
      <w:pPr>
        <w:widowControl/>
        <w:wordWrap w:val="0"/>
        <w:spacing w:line="288" w:lineRule="auto"/>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widowControl/>
        <w:wordWrap w:val="0"/>
        <w:spacing w:line="288" w:lineRule="auto"/>
        <w:jc w:val="left"/>
        <w:rPr>
          <w:rFonts w:hint="default" w:ascii="Times New Roman" w:hAnsi="Times New Roman" w:eastAsia="仿宋_GB2312" w:cs="Times New Roman"/>
          <w:color w:val="000000"/>
          <w:kern w:val="0"/>
          <w:sz w:val="32"/>
          <w:szCs w:val="32"/>
        </w:rPr>
      </w:pPr>
      <w:bookmarkStart w:id="1" w:name="_GoBack"/>
      <w:bookmarkEnd w:id="1"/>
    </w:p>
    <w:p>
      <w:pPr>
        <w:widowControl/>
        <w:wordWrap w:val="0"/>
        <w:spacing w:line="288" w:lineRule="auto"/>
        <w:ind w:firstLine="4160" w:firstLineChars="1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晋江市卫生健康局                                       2021年7月13日</w:t>
      </w:r>
    </w:p>
    <w:p>
      <w:pPr>
        <w:spacing w:line="440" w:lineRule="exact"/>
        <w:jc w:val="left"/>
        <w:rPr>
          <w:rFonts w:hint="eastAsia" w:ascii="宋体" w:hAnsi="宋体"/>
          <w:b/>
          <w:sz w:val="32"/>
          <w:szCs w:val="32"/>
        </w:rPr>
      </w:pPr>
      <w:r>
        <w:rPr>
          <w:rFonts w:hint="eastAsia" w:ascii="黑体" w:hAnsi="黑体" w:eastAsia="黑体"/>
          <w:sz w:val="32"/>
          <w:szCs w:val="32"/>
        </w:rPr>
        <w:t>附</w:t>
      </w:r>
      <w:r>
        <w:rPr>
          <w:rFonts w:hint="eastAsia" w:ascii="黑体" w:hAnsi="黑体" w:eastAsia="黑体"/>
          <w:color w:val="000000"/>
          <w:sz w:val="32"/>
          <w:szCs w:val="32"/>
        </w:rPr>
        <w:t>件1</w:t>
      </w:r>
      <w:r>
        <w:rPr>
          <w:rFonts w:hint="eastAsia" w:ascii="宋体" w:hAnsi="宋体"/>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2021年远程视频教学课程与参考学时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0"/>
          <w:sz w:val="44"/>
          <w:szCs w:val="44"/>
          <w:lang w:eastAsia="zh-CN"/>
        </w:rPr>
      </w:pPr>
      <w:r>
        <w:rPr>
          <w:rFonts w:hint="eastAsia" w:ascii="方正小标宋简体" w:hAnsi="方正小标宋简体" w:eastAsia="方正小标宋简体" w:cs="方正小标宋简体"/>
          <w:spacing w:val="-10"/>
          <w:sz w:val="44"/>
          <w:szCs w:val="44"/>
          <w:lang w:eastAsia="zh-CN"/>
        </w:rPr>
        <w:t>（</w:t>
      </w:r>
      <w:r>
        <w:rPr>
          <w:rFonts w:hint="eastAsia" w:ascii="方正小标宋简体" w:hAnsi="方正小标宋简体" w:eastAsia="方正小标宋简体" w:cs="方正小标宋简体"/>
          <w:spacing w:val="-10"/>
          <w:sz w:val="44"/>
          <w:szCs w:val="44"/>
        </w:rPr>
        <w:t>选修、必修</w:t>
      </w:r>
      <w:r>
        <w:rPr>
          <w:rFonts w:hint="eastAsia" w:ascii="方正小标宋简体" w:hAnsi="方正小标宋简体" w:eastAsia="方正小标宋简体" w:cs="方正小标宋简体"/>
          <w:spacing w:val="-10"/>
          <w:sz w:val="44"/>
          <w:szCs w:val="44"/>
          <w:lang w:eastAsia="zh-CN"/>
        </w:rPr>
        <w:t>）</w:t>
      </w:r>
    </w:p>
    <w:tbl>
      <w:tblPr>
        <w:tblStyle w:val="16"/>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477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sz w:val="22"/>
                <w:szCs w:val="22"/>
              </w:rPr>
            </w:pPr>
            <w:r>
              <w:rPr>
                <w:rFonts w:hint="default" w:ascii="Times New Roman" w:hAnsi="Times New Roman" w:eastAsia="仿宋_GB2312" w:cs="Times New Roman"/>
                <w:b/>
                <w:bCs/>
                <w:kern w:val="0"/>
                <w:sz w:val="22"/>
                <w:szCs w:val="22"/>
              </w:rPr>
              <w:t>项目（必修）</w:t>
            </w:r>
          </w:p>
        </w:tc>
        <w:tc>
          <w:tcPr>
            <w:tcW w:w="477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sz w:val="22"/>
                <w:szCs w:val="22"/>
              </w:rPr>
            </w:pPr>
            <w:r>
              <w:rPr>
                <w:rFonts w:hint="default" w:ascii="Times New Roman" w:hAnsi="Times New Roman" w:eastAsia="仿宋_GB2312" w:cs="Times New Roman"/>
                <w:b/>
                <w:bCs/>
                <w:kern w:val="0"/>
                <w:sz w:val="22"/>
                <w:szCs w:val="22"/>
              </w:rPr>
              <w:t>内容</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sz w:val="22"/>
                <w:szCs w:val="22"/>
              </w:rPr>
            </w:pPr>
            <w:r>
              <w:rPr>
                <w:rFonts w:hint="default" w:ascii="Times New Roman" w:hAnsi="Times New Roman" w:eastAsia="仿宋_GB2312" w:cs="Times New Roman"/>
                <w:b/>
                <w:bCs/>
                <w:kern w:val="0"/>
                <w:sz w:val="22"/>
                <w:szCs w:val="2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43" w:type="dxa"/>
            <w:vMerge w:val="restart"/>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医学人文</w:t>
            </w: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医学心理学</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1.概述</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2.乡村医疗服务中的心理问题</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1"/>
                <w:szCs w:val="21"/>
              </w:rPr>
            </w:pP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卫生法规</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1.中医药条例</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2.抗菌药物临床管理办法</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公共卫生</w:t>
            </w: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1.中医药健康管理服务规范</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2.健康教育服务规范</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3.老年人健康管理服务规范</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43" w:type="dxa"/>
            <w:vMerge w:val="restart"/>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全科医疗</w:t>
            </w: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常见病与多发病（心血管系统）</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1.原发性高血压</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2.心律失常（早搏、心房颤动、室上速、室速）</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23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1"/>
                <w:szCs w:val="21"/>
              </w:rPr>
            </w:pP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常见病与多发病（血液、代谢、内分泌系统）</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1.缺铁性贫血</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2.血小板减少性紫癜</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3.血脂异常</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4.甲状腺功能亢进症</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5.甲状腺功能减退症</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6.糖尿病</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23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1"/>
                <w:szCs w:val="21"/>
              </w:rPr>
            </w:pP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常见病与多发病（运动系统）</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1.脊椎病</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2.类风湿关节炎</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3.常见的骨折（肱骨干、桡骨远端、股骨颈、胫骨、脊柱、骨盆）</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4.关节脱位（下颌、肩、肘、髋）</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1" w:hRule="atLeast"/>
          <w:jc w:val="center"/>
        </w:trPr>
        <w:tc>
          <w:tcPr>
            <w:tcW w:w="23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1"/>
                <w:szCs w:val="21"/>
              </w:rPr>
            </w:pP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急诊与急救（一）</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1.颅脑损伤</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2.腹部损伤</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3.糖尿病酮症酸中毒</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4.低血糖</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5.意外（急性农药中毒、一氧化碳中毒、中暑、热烧伤、坠落伤、电击伤、毒蛇咬伤、蜂蛰伤.淹溺）</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中医适宜技术</w:t>
            </w:r>
          </w:p>
        </w:tc>
        <w:tc>
          <w:tcPr>
            <w:tcW w:w="477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1.常见病、多发病（胸痹、胁痛、腰痛、不寐、中风、头痛、眩晕）</w:t>
            </w:r>
          </w:p>
          <w:p>
            <w:pP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2.骨伤科常用中成药</w:t>
            </w:r>
          </w:p>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3.心脑系病症常用中成药</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合计</w:t>
            </w:r>
          </w:p>
        </w:tc>
        <w:tc>
          <w:tcPr>
            <w:tcW w:w="17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60</w:t>
            </w:r>
          </w:p>
        </w:tc>
      </w:tr>
    </w:tbl>
    <w:p>
      <w:pPr>
        <w:spacing w:line="600" w:lineRule="exact"/>
        <w:jc w:val="center"/>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2021年远程视频培训课程与参考学时（选修）</w:t>
      </w:r>
    </w:p>
    <w:tbl>
      <w:tblPr>
        <w:tblStyle w:val="16"/>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4821"/>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sz w:val="22"/>
                <w:szCs w:val="22"/>
              </w:rPr>
            </w:pPr>
            <w:r>
              <w:rPr>
                <w:rFonts w:hint="default" w:ascii="Times New Roman" w:hAnsi="Times New Roman" w:eastAsia="仿宋_GB2312" w:cs="Times New Roman"/>
                <w:b/>
                <w:bCs/>
                <w:kern w:val="0"/>
                <w:sz w:val="22"/>
                <w:szCs w:val="22"/>
              </w:rPr>
              <w:t>项目（选修）</w:t>
            </w:r>
          </w:p>
        </w:tc>
        <w:tc>
          <w:tcPr>
            <w:tcW w:w="4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sz w:val="22"/>
                <w:szCs w:val="22"/>
              </w:rPr>
            </w:pPr>
            <w:r>
              <w:rPr>
                <w:rFonts w:hint="default" w:ascii="Times New Roman" w:hAnsi="Times New Roman" w:eastAsia="仿宋_GB2312" w:cs="Times New Roman"/>
                <w:b/>
                <w:bCs/>
                <w:kern w:val="0"/>
                <w:sz w:val="22"/>
                <w:szCs w:val="22"/>
              </w:rPr>
              <w:t>内容</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sz w:val="22"/>
                <w:szCs w:val="22"/>
              </w:rPr>
            </w:pPr>
            <w:r>
              <w:rPr>
                <w:rFonts w:hint="default" w:ascii="Times New Roman" w:hAnsi="Times New Roman" w:eastAsia="仿宋_GB2312" w:cs="Times New Roman"/>
                <w:b/>
                <w:bCs/>
                <w:kern w:val="0"/>
                <w:sz w:val="22"/>
                <w:szCs w:val="2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医学人文</w:t>
            </w:r>
          </w:p>
        </w:tc>
        <w:tc>
          <w:tcPr>
            <w:tcW w:w="482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卫生法规</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1.中药品种保护条例</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2.医疗机构管理条例</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3.执业医师法</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jc w:val="center"/>
        </w:trPr>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公共卫生</w:t>
            </w:r>
          </w:p>
        </w:tc>
        <w:tc>
          <w:tcPr>
            <w:tcW w:w="4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公共卫生策略</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1.初级卫生保健</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2.疾病预防策略</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3.基本公共卫生服务</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4.重大公共卫生服务</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5.中医预防与养生保健</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31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全科医疗</w:t>
            </w:r>
          </w:p>
        </w:tc>
        <w:tc>
          <w:tcPr>
            <w:tcW w:w="4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全科医学基本知识</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1.全科医疗</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2.全科医生</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231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1"/>
                <w:szCs w:val="21"/>
              </w:rPr>
            </w:pPr>
          </w:p>
        </w:tc>
        <w:tc>
          <w:tcPr>
            <w:tcW w:w="4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常见病与多发病（心血管系统）</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1.慢性心力衰竭</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2.冠状动脉粥样硬化性心脏病</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31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1"/>
                <w:szCs w:val="21"/>
              </w:rPr>
            </w:pPr>
          </w:p>
        </w:tc>
        <w:tc>
          <w:tcPr>
            <w:tcW w:w="4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常见病与多发病（运动系统）</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1.粘连性肩关节炎</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2.骨关节炎</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jc w:val="center"/>
        </w:trPr>
        <w:tc>
          <w:tcPr>
            <w:tcW w:w="231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1"/>
                <w:szCs w:val="21"/>
              </w:rPr>
            </w:pPr>
          </w:p>
        </w:tc>
        <w:tc>
          <w:tcPr>
            <w:tcW w:w="4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急症与急救</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1.急性酒精中毒</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2.镇静催眠药中毒</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3.窒息</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4.冻伤</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中医适宜技术</w:t>
            </w:r>
          </w:p>
        </w:tc>
        <w:tc>
          <w:tcPr>
            <w:tcW w:w="4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1.诊法（望诊、闻诊、问诊、切诊）</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2.常用穴位的定位于操作</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71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合计</w:t>
            </w:r>
          </w:p>
        </w:tc>
        <w:tc>
          <w:tcPr>
            <w:tcW w:w="1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40</w:t>
            </w:r>
          </w:p>
        </w:tc>
      </w:tr>
    </w:tbl>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sz w:val="32"/>
          <w:szCs w:val="32"/>
        </w:rPr>
      </w:pPr>
    </w:p>
    <w:p>
      <w:pPr>
        <w:spacing w:line="440" w:lineRule="exact"/>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ascii="方正小标宋简体"/>
          <w:sz w:val="44"/>
          <w:szCs w:val="44"/>
        </w:rPr>
        <w:t xml:space="preserve"> </w:t>
      </w:r>
      <w:r>
        <w:rPr>
          <w:rFonts w:hint="eastAsia" w:ascii="方正小标宋简体" w:hAnsi="方正小标宋简体" w:eastAsia="方正小标宋简体" w:cs="方正小标宋简体"/>
          <w:sz w:val="44"/>
          <w:szCs w:val="44"/>
        </w:rPr>
        <w:t>学员登入福建省乡村医生规范化培训网络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平台操作流程 </w:t>
      </w:r>
    </w:p>
    <w:p>
      <w:pPr>
        <w:ind w:firstLine="960" w:firstLineChars="3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输入用户名、密码</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 xml:space="preserve">进入学习中心——学前测试——课程学习——作业——模拟考试——理论考试。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1.输入用户名、密码：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（1）电脑端：登录http://fjxy.91huayi.com/进入福建省乡村医生规范化培训平台,找到学员学习的登录框后，学员输入用户名和密码</w:t>
      </w:r>
      <w:r>
        <w:rPr>
          <w:rFonts w:hint="default" w:ascii="Times New Roman" w:hAnsi="Times New Roman" w:eastAsia="仿宋_GB2312" w:cs="Times New Roman"/>
          <w:color w:val="000000"/>
          <w:sz w:val="32"/>
          <w:szCs w:val="32"/>
        </w:rPr>
        <w:t>（用户名为身份证号码，初始密码为123456）</w:t>
      </w:r>
      <w:r>
        <w:rPr>
          <w:rFonts w:hint="default" w:ascii="Times New Roman" w:hAnsi="Times New Roman" w:eastAsia="仿宋_GB2312" w:cs="Times New Roman"/>
          <w:sz w:val="32"/>
          <w:szCs w:val="32"/>
        </w:rPr>
        <w:t>，点击登录进入学习中心。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drawing>
          <wp:anchor distT="0" distB="0" distL="114300" distR="114300" simplePos="0" relativeHeight="251658240" behindDoc="0" locked="0" layoutInCell="1" allowOverlap="0">
            <wp:simplePos x="0" y="0"/>
            <wp:positionH relativeFrom="column">
              <wp:posOffset>3810000</wp:posOffset>
            </wp:positionH>
            <wp:positionV relativeFrom="line">
              <wp:posOffset>104775</wp:posOffset>
            </wp:positionV>
            <wp:extent cx="2066925" cy="1885950"/>
            <wp:effectExtent l="0" t="0" r="9525" b="0"/>
            <wp:wrapSquare wrapText="bothSides"/>
            <wp:docPr id="1" name="图片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1"/>
                    <pic:cNvPicPr>
                      <a:picLocks noChangeAspect="1"/>
                    </pic:cNvPicPr>
                  </pic:nvPicPr>
                  <pic:blipFill>
                    <a:blip r:embed="rId8"/>
                    <a:stretch>
                      <a:fillRect/>
                    </a:stretch>
                  </pic:blipFill>
                  <pic:spPr>
                    <a:xfrm>
                      <a:off x="0" y="0"/>
                      <a:ext cx="2066925" cy="1885950"/>
                    </a:xfrm>
                    <a:prstGeom prst="rect">
                      <a:avLst/>
                    </a:prstGeom>
                    <a:noFill/>
                    <a:ln>
                      <a:noFill/>
                    </a:ln>
                  </pic:spPr>
                </pic:pic>
              </a:graphicData>
            </a:graphic>
          </wp:anchor>
        </w:drawing>
      </w:r>
      <w:r>
        <w:rPr>
          <w:rFonts w:hint="default" w:ascii="Times New Roman" w:hAnsi="Times New Roman" w:eastAsia="仿宋_GB2312" w:cs="Times New Roman"/>
          <w:sz w:val="32"/>
          <w:szCs w:val="32"/>
        </w:rPr>
        <w:t>（2）手机端：</w:t>
      </w:r>
      <w:r>
        <w:rPr>
          <w:rFonts w:hint="default" w:ascii="Times New Roman" w:hAnsi="Times New Roman" w:eastAsia="仿宋_GB2312" w:cs="Times New Roman"/>
          <w:color w:val="000000"/>
          <w:sz w:val="32"/>
          <w:szCs w:val="32"/>
        </w:rPr>
        <w:t>下载“掌上华医”APP或扫描右边二维码，安装进入。选择账号密码登录，输入用户名和密码（用户名为身份证号码，初始密码为123456）</w:t>
      </w:r>
      <w:r>
        <w:rPr>
          <w:rFonts w:hint="default" w:ascii="Times New Roman" w:hAnsi="Times New Roman" w:eastAsia="仿宋_GB2312" w:cs="Times New Roman"/>
          <w:sz w:val="32"/>
          <w:szCs w:val="32"/>
        </w:rPr>
        <w:t>点击</w:t>
      </w:r>
      <w:r>
        <w:rPr>
          <w:rFonts w:hint="default" w:ascii="Times New Roman" w:hAnsi="Times New Roman" w:eastAsia="仿宋_GB2312" w:cs="Times New Roman"/>
          <w:color w:val="000000"/>
          <w:sz w:val="32"/>
          <w:szCs w:val="32"/>
        </w:rPr>
        <w:t xml:space="preserve"> “基层培训”频道，进入</w:t>
      </w:r>
      <w:r>
        <w:rPr>
          <w:rFonts w:hint="default" w:ascii="Times New Roman" w:hAnsi="Times New Roman" w:eastAsia="仿宋_GB2312" w:cs="Times New Roman"/>
          <w:sz w:val="32"/>
          <w:szCs w:val="32"/>
        </w:rPr>
        <w:t>学习中心</w:t>
      </w:r>
      <w:r>
        <w:rPr>
          <w:rFonts w:hint="default" w:ascii="Times New Roman" w:hAnsi="Times New Roman" w:eastAsia="仿宋_GB2312" w:cs="Times New Roman"/>
          <w:color w:val="000000"/>
          <w:sz w:val="32"/>
          <w:szCs w:val="32"/>
        </w:rPr>
        <w:t>，选择</w:t>
      </w:r>
      <w:r>
        <w:rPr>
          <w:rFonts w:hint="default" w:ascii="Times New Roman" w:hAnsi="Times New Roman" w:eastAsia="仿宋_GB2312" w:cs="Times New Roman"/>
          <w:b/>
          <w:color w:val="000000"/>
          <w:sz w:val="32"/>
          <w:szCs w:val="32"/>
        </w:rPr>
        <w:t>“2021年福建省乡村医生规范培训”</w:t>
      </w:r>
      <w:r>
        <w:rPr>
          <w:rFonts w:hint="default" w:ascii="Times New Roman" w:hAnsi="Times New Roman" w:eastAsia="仿宋_GB2312" w:cs="Times New Roman"/>
          <w:color w:val="000000"/>
          <w:sz w:val="32"/>
          <w:szCs w:val="32"/>
        </w:rPr>
        <w:t>项目，进行学习</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2.进入学习中心：（分为必修课程和选修课程）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进入学习中心后，学员可以看到培训所需的学前测试、培训总学时（点击后进入培训课程列表，分为必修课程和选修课程）、模拟考试、统考、培训排名等信息。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3.学前测试：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在开始整体培训前，学员先点击学前测试进行测试。学员可自由选择是否进行学前测试，不做强制要求，该测试便于在培训前，学员对于自己所要培训知识掌握情况有一个大体的了解，以更好制定自己学习计划。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4.课程学习：（分为必修课程和选修课程）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必修课程学习必须每一节课程全部学习完毕，选修课程则由大家自主选择学习。在学习过程中学员可以就课程内容和教务老师、其他同学进行学习交流。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5.作业：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必修课程每节课程学习结束后，学员需要将对应课程作业全部练习完毕，否则该节课程将不做学习进度记录。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6.模拟考试：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为了让学员更好的准备统考，在培训结束后，学员可以进行整体培训内容的模拟考试。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7.理论考试：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全部必修的课件学习完毕，进入考试环节，学员可以按照培训组织管理者要求的时间参加统考。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小标宋简体" w:hAnsi="方正小标宋简体" w:eastAsia="方正小标宋简体" w:cs="方正小标宋简体"/>
          <w:color w:val="000000"/>
          <w:kern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小标宋简体" w:hAnsi="方正小标宋简体" w:eastAsia="方正小标宋简体" w:cs="方正小标宋简体"/>
          <w:color w:val="000000"/>
          <w:kern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小标宋简体" w:hAnsi="方正小标宋简体" w:eastAsia="方正小标宋简体" w:cs="方正小标宋简体"/>
          <w:color w:val="000000"/>
          <w:kern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小标宋简体" w:hAnsi="方正小标宋简体" w:eastAsia="方正小标宋简体" w:cs="方正小标宋简体"/>
          <w:color w:val="000000"/>
          <w:kern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小标宋简体" w:hAnsi="方正小标宋简体" w:eastAsia="方正小标宋简体" w:cs="方正小标宋简体"/>
          <w:color w:val="000000"/>
          <w:kern w:val="0"/>
          <w:sz w:val="32"/>
          <w:szCs w:val="32"/>
          <w:lang w:val="en-US" w:eastAsia="zh-CN"/>
        </w:rPr>
      </w:pPr>
    </w:p>
    <w:tbl>
      <w:tblPr>
        <w:tblStyle w:val="16"/>
        <w:tblpPr w:leftFromText="180" w:rightFromText="180" w:vertAnchor="text" w:horzAnchor="page" w:tblpX="1427" w:tblpY="12031"/>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280" w:type="dxa"/>
            <w:tcBorders>
              <w:left w:val="nil"/>
              <w:right w:val="nil"/>
            </w:tcBorders>
            <w:noWrap w:val="0"/>
            <w:vAlign w:val="center"/>
          </w:tcPr>
          <w:p>
            <w:pPr>
              <w:keepNext w:val="0"/>
              <w:keepLines w:val="0"/>
              <w:pageBreakBefore w:val="0"/>
              <w:widowControl w:val="0"/>
              <w:tabs>
                <w:tab w:val="left" w:pos="7197"/>
              </w:tabs>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晋江市卫生健康局   </w:t>
            </w:r>
            <w:r>
              <w:rPr>
                <w:rFonts w:hint="default" w:ascii="Times New Roman" w:hAnsi="Times New Roman"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w:t>
            </w:r>
            <w:r>
              <w:rPr>
                <w:rFonts w:hint="eastAsia" w:ascii="Times New Roman"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w:t>
            </w:r>
            <w:r>
              <w:rPr>
                <w:rFonts w:hint="default" w:ascii="Times New Roman" w:hAnsi="Times New Roman"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w:t>
            </w:r>
            <w:r>
              <w:rPr>
                <w:rFonts w:hint="default" w:ascii="Times New Roman" w:hAnsi="Times New Roman"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w:t>
            </w:r>
            <w:r>
              <w:rPr>
                <w:rFonts w:hint="default" w:ascii="Times New Roman" w:hAnsi="Times New Roman"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202</w:t>
            </w:r>
            <w:r>
              <w:rPr>
                <w:rFonts w:hint="default" w:ascii="Times New Roman" w:hAnsi="Times New Roman" w:cs="Times New Roman"/>
                <w:b w:val="0"/>
                <w:bCs w:val="0"/>
                <w:sz w:val="28"/>
                <w:szCs w:val="28"/>
                <w:lang w:val="en-US" w:eastAsia="zh-CN"/>
              </w:rPr>
              <w:t>1</w:t>
            </w:r>
            <w:r>
              <w:rPr>
                <w:rFonts w:hint="default" w:ascii="Times New Roman" w:hAnsi="Times New Roman" w:eastAsia="仿宋_GB2312" w:cs="Times New Roman"/>
                <w:b w:val="0"/>
                <w:bCs w:val="0"/>
                <w:sz w:val="28"/>
                <w:szCs w:val="28"/>
              </w:rPr>
              <w:t>年</w:t>
            </w:r>
            <w:r>
              <w:rPr>
                <w:rFonts w:hint="eastAsia" w:ascii="Times New Roman" w:cs="Times New Roman"/>
                <w:b w:val="0"/>
                <w:bCs w:val="0"/>
                <w:sz w:val="28"/>
                <w:szCs w:val="28"/>
                <w:lang w:val="en-US" w:eastAsia="zh-CN"/>
              </w:rPr>
              <w:t>7</w:t>
            </w:r>
            <w:r>
              <w:rPr>
                <w:rFonts w:hint="default" w:ascii="Times New Roman" w:hAnsi="Times New Roman" w:eastAsia="仿宋_GB2312" w:cs="Times New Roman"/>
                <w:b w:val="0"/>
                <w:bCs w:val="0"/>
                <w:sz w:val="28"/>
                <w:szCs w:val="28"/>
              </w:rPr>
              <w:t>月</w:t>
            </w:r>
            <w:r>
              <w:rPr>
                <w:rFonts w:hint="eastAsia" w:ascii="Times New Roman" w:cs="Times New Roman"/>
                <w:b w:val="0"/>
                <w:bCs w:val="0"/>
                <w:sz w:val="28"/>
                <w:szCs w:val="28"/>
                <w:lang w:val="en-US" w:eastAsia="zh-CN"/>
              </w:rPr>
              <w:t>13</w:t>
            </w:r>
            <w:r>
              <w:rPr>
                <w:rFonts w:hint="default" w:ascii="Times New Roman" w:hAnsi="Times New Roman" w:eastAsia="仿宋_GB2312" w:cs="Times New Roman"/>
                <w:b w:val="0"/>
                <w:bCs w:val="0"/>
                <w:sz w:val="28"/>
                <w:szCs w:val="28"/>
              </w:rPr>
              <w:t>日印发</w:t>
            </w:r>
          </w:p>
        </w:tc>
      </w:tr>
    </w:tbl>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小标宋简体" w:hAnsi="方正小标宋简体" w:eastAsia="方正小标宋简体" w:cs="方正小标宋简体"/>
          <w:color w:val="000000"/>
          <w:kern w:val="0"/>
          <w:sz w:val="32"/>
          <w:szCs w:val="32"/>
          <w:lang w:val="en-US" w:eastAsia="zh-CN"/>
        </w:rPr>
      </w:pPr>
    </w:p>
    <w:sectPr>
      <w:headerReference r:id="rId5" w:type="default"/>
      <w:footerReference r:id="rId6" w:type="default"/>
      <w:pgSz w:w="11906" w:h="16838"/>
      <w:pgMar w:top="2211" w:right="1622" w:bottom="1984" w:left="1644" w:header="851" w:footer="851" w:gutter="0"/>
      <w:pgNumType w:fmt="numberInDash"/>
      <w:cols w:space="0" w:num="1"/>
      <w:docGrid w:linePitch="57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0-08-12T15:28:00Z" w:initials="A">
    <w:p w14:paraId="5D053FBE">
      <w:pPr>
        <w:pStyle w:val="4"/>
        <w:rPr>
          <w:sz w:val="28"/>
          <w:szCs w:val="28"/>
        </w:rPr>
      </w:pPr>
      <w:r>
        <w:rPr>
          <w:rFonts w:hint="eastAsia"/>
          <w:sz w:val="28"/>
          <w:szCs w:val="28"/>
        </w:rPr>
        <w:t>仿宋GB2312 三号</w:t>
      </w:r>
    </w:p>
  </w:comment>
  <w:comment w:id="1" w:author="Administrator" w:date="2020-08-12T15:28:00Z" w:initials="A">
    <w:p w14:paraId="77046EF6">
      <w:pPr>
        <w:pStyle w:val="4"/>
      </w:pPr>
      <w:r>
        <w:rPr>
          <w:rFonts w:hint="eastAsia"/>
        </w:rPr>
        <w:t>括号为龟壳型括号</w:t>
      </w:r>
    </w:p>
  </w:comment>
  <w:comment w:id="2" w:author="Administrator" w:date="2020-08-12T15:35:00Z" w:initials="A">
    <w:p w14:paraId="140673A7">
      <w:pPr>
        <w:pStyle w:val="4"/>
      </w:pPr>
      <w:r>
        <w:rPr>
          <w:rFonts w:hint="eastAsia"/>
        </w:rPr>
        <w:t>数字字体为Times New Roman 三号</w:t>
      </w:r>
    </w:p>
  </w:comment>
  <w:comment w:id="3" w:author="Administrator" w:date="2020-08-12T15:35:00Z" w:initials="A">
    <w:p w14:paraId="54F13203">
      <w:pPr>
        <w:pStyle w:val="4"/>
      </w:pPr>
      <w:r>
        <w:rPr>
          <w:rFonts w:hint="eastAsia"/>
        </w:rPr>
        <w:t>为楷体_GB2312 三号</w:t>
      </w:r>
    </w:p>
  </w:comment>
  <w:comment w:id="4" w:author="Administrator" w:date="2020-08-12T15:35:00Z" w:initials="A">
    <w:p w14:paraId="2C7546E7">
      <w:pPr>
        <w:pStyle w:val="4"/>
      </w:pPr>
      <w:r>
        <w:rPr>
          <w:rFonts w:hint="eastAsia"/>
        </w:rPr>
        <w:t>为楷体_GB2312 三号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053FBE" w15:done="0"/>
  <w15:commentEx w15:paraId="77046EF6" w15:done="0"/>
  <w15:commentEx w15:paraId="140673A7" w15:done="0"/>
  <w15:commentEx w15:paraId="54F13203" w15:done="0"/>
  <w15:commentEx w15:paraId="2C7546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Style w:val="21"/>
        <w:rFonts w:ascii="宋体" w:hAnsi="宋体" w:eastAsia="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p>
    <w:pPr>
      <w:pStyle w:val="10"/>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8C1B1"/>
    <w:multiLevelType w:val="singleLevel"/>
    <w:tmpl w:val="8D38C1B1"/>
    <w:lvl w:ilvl="0" w:tentative="0">
      <w:start w:val="2"/>
      <w:numFmt w:val="decimal"/>
      <w:lvlText w:val="%1."/>
      <w:lvlJc w:val="left"/>
      <w:pPr>
        <w:tabs>
          <w:tab w:val="left" w:pos="312"/>
        </w:tabs>
      </w:pPr>
    </w:lvl>
  </w:abstractNum>
  <w:abstractNum w:abstractNumId="1">
    <w:nsid w:val="3DA82625"/>
    <w:multiLevelType w:val="multilevel"/>
    <w:tmpl w:val="3DA82625"/>
    <w:lvl w:ilvl="0" w:tentative="0">
      <w:start w:val="1"/>
      <w:numFmt w:val="japaneseCounting"/>
      <w:pStyle w:val="19"/>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103"/>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A497F"/>
    <w:rsid w:val="00016452"/>
    <w:rsid w:val="000259DB"/>
    <w:rsid w:val="00033B2D"/>
    <w:rsid w:val="000347F1"/>
    <w:rsid w:val="000401FF"/>
    <w:rsid w:val="00051EF1"/>
    <w:rsid w:val="0005520C"/>
    <w:rsid w:val="000720A8"/>
    <w:rsid w:val="00076E46"/>
    <w:rsid w:val="00090C4A"/>
    <w:rsid w:val="000C2C64"/>
    <w:rsid w:val="000D1B8F"/>
    <w:rsid w:val="000F1A2D"/>
    <w:rsid w:val="00106D30"/>
    <w:rsid w:val="0011473E"/>
    <w:rsid w:val="0013342F"/>
    <w:rsid w:val="0014458E"/>
    <w:rsid w:val="00150447"/>
    <w:rsid w:val="00150F3D"/>
    <w:rsid w:val="00184EB1"/>
    <w:rsid w:val="001A497F"/>
    <w:rsid w:val="001E2B24"/>
    <w:rsid w:val="001E39D5"/>
    <w:rsid w:val="00223952"/>
    <w:rsid w:val="00237E3D"/>
    <w:rsid w:val="0024018B"/>
    <w:rsid w:val="002409E0"/>
    <w:rsid w:val="00262B28"/>
    <w:rsid w:val="0026601A"/>
    <w:rsid w:val="0027206F"/>
    <w:rsid w:val="0028032C"/>
    <w:rsid w:val="00296737"/>
    <w:rsid w:val="002B6353"/>
    <w:rsid w:val="002C04B3"/>
    <w:rsid w:val="002C3F1F"/>
    <w:rsid w:val="002C57C9"/>
    <w:rsid w:val="002D7F23"/>
    <w:rsid w:val="002E4BF9"/>
    <w:rsid w:val="00304493"/>
    <w:rsid w:val="003115AF"/>
    <w:rsid w:val="0031715F"/>
    <w:rsid w:val="003366AF"/>
    <w:rsid w:val="003507B3"/>
    <w:rsid w:val="003924B5"/>
    <w:rsid w:val="003B2487"/>
    <w:rsid w:val="003F0C33"/>
    <w:rsid w:val="003F2AEB"/>
    <w:rsid w:val="00400D81"/>
    <w:rsid w:val="00436226"/>
    <w:rsid w:val="004601C6"/>
    <w:rsid w:val="004611BD"/>
    <w:rsid w:val="00477972"/>
    <w:rsid w:val="004A0C96"/>
    <w:rsid w:val="004A61C4"/>
    <w:rsid w:val="004B1A72"/>
    <w:rsid w:val="004C5752"/>
    <w:rsid w:val="00516687"/>
    <w:rsid w:val="00517B03"/>
    <w:rsid w:val="005758FD"/>
    <w:rsid w:val="005B1345"/>
    <w:rsid w:val="005D3514"/>
    <w:rsid w:val="005D4A82"/>
    <w:rsid w:val="005F0B9D"/>
    <w:rsid w:val="006007F3"/>
    <w:rsid w:val="00635620"/>
    <w:rsid w:val="00647CA9"/>
    <w:rsid w:val="00651EF2"/>
    <w:rsid w:val="0067385B"/>
    <w:rsid w:val="006A1059"/>
    <w:rsid w:val="006D47AD"/>
    <w:rsid w:val="006D7231"/>
    <w:rsid w:val="006F2E3D"/>
    <w:rsid w:val="00704538"/>
    <w:rsid w:val="0071384A"/>
    <w:rsid w:val="00714C3C"/>
    <w:rsid w:val="00727D90"/>
    <w:rsid w:val="0075337E"/>
    <w:rsid w:val="00796E6A"/>
    <w:rsid w:val="007C15EA"/>
    <w:rsid w:val="00832001"/>
    <w:rsid w:val="0084474A"/>
    <w:rsid w:val="00856A81"/>
    <w:rsid w:val="008600F0"/>
    <w:rsid w:val="008669CF"/>
    <w:rsid w:val="00886DEA"/>
    <w:rsid w:val="008B3D62"/>
    <w:rsid w:val="008B4C57"/>
    <w:rsid w:val="008C3AA0"/>
    <w:rsid w:val="008C55D7"/>
    <w:rsid w:val="008E23AF"/>
    <w:rsid w:val="008E4F62"/>
    <w:rsid w:val="00907C65"/>
    <w:rsid w:val="00927A43"/>
    <w:rsid w:val="00940C5C"/>
    <w:rsid w:val="00944F05"/>
    <w:rsid w:val="0096325C"/>
    <w:rsid w:val="0099542F"/>
    <w:rsid w:val="009B17F7"/>
    <w:rsid w:val="009B3B3F"/>
    <w:rsid w:val="009D00EC"/>
    <w:rsid w:val="00A15B33"/>
    <w:rsid w:val="00A34B4C"/>
    <w:rsid w:val="00A6522A"/>
    <w:rsid w:val="00A67FD8"/>
    <w:rsid w:val="00A73355"/>
    <w:rsid w:val="00A742A1"/>
    <w:rsid w:val="00A75196"/>
    <w:rsid w:val="00AB5D57"/>
    <w:rsid w:val="00AC1B06"/>
    <w:rsid w:val="00AD39EE"/>
    <w:rsid w:val="00AE277D"/>
    <w:rsid w:val="00AF1AD2"/>
    <w:rsid w:val="00B0728C"/>
    <w:rsid w:val="00B13D42"/>
    <w:rsid w:val="00B320DA"/>
    <w:rsid w:val="00B74DA3"/>
    <w:rsid w:val="00B83368"/>
    <w:rsid w:val="00BA5182"/>
    <w:rsid w:val="00C01ACA"/>
    <w:rsid w:val="00C071DA"/>
    <w:rsid w:val="00C221BF"/>
    <w:rsid w:val="00C306D0"/>
    <w:rsid w:val="00C422D6"/>
    <w:rsid w:val="00C95BF9"/>
    <w:rsid w:val="00CA6304"/>
    <w:rsid w:val="00CB2D4B"/>
    <w:rsid w:val="00CC65EA"/>
    <w:rsid w:val="00CD30CC"/>
    <w:rsid w:val="00CD5B20"/>
    <w:rsid w:val="00D02E68"/>
    <w:rsid w:val="00D25DBD"/>
    <w:rsid w:val="00D509A1"/>
    <w:rsid w:val="00D63668"/>
    <w:rsid w:val="00D72896"/>
    <w:rsid w:val="00D85F15"/>
    <w:rsid w:val="00DA4EB7"/>
    <w:rsid w:val="00DC487C"/>
    <w:rsid w:val="00DF70D9"/>
    <w:rsid w:val="00E36211"/>
    <w:rsid w:val="00E505D1"/>
    <w:rsid w:val="00E60D9B"/>
    <w:rsid w:val="00E67B6D"/>
    <w:rsid w:val="00E766EF"/>
    <w:rsid w:val="00E960BF"/>
    <w:rsid w:val="00EB26AF"/>
    <w:rsid w:val="00ED420E"/>
    <w:rsid w:val="00EF1825"/>
    <w:rsid w:val="00EF68B8"/>
    <w:rsid w:val="00F01957"/>
    <w:rsid w:val="00F0525D"/>
    <w:rsid w:val="00F3037F"/>
    <w:rsid w:val="00F54D87"/>
    <w:rsid w:val="00F564B5"/>
    <w:rsid w:val="00F65574"/>
    <w:rsid w:val="00F67D0B"/>
    <w:rsid w:val="00F84FF2"/>
    <w:rsid w:val="00FA1851"/>
    <w:rsid w:val="00FB0C40"/>
    <w:rsid w:val="01024DE8"/>
    <w:rsid w:val="012A1374"/>
    <w:rsid w:val="01871D8B"/>
    <w:rsid w:val="01F916F8"/>
    <w:rsid w:val="020969D2"/>
    <w:rsid w:val="022B007D"/>
    <w:rsid w:val="02564F7C"/>
    <w:rsid w:val="02B43DA4"/>
    <w:rsid w:val="03560223"/>
    <w:rsid w:val="037E52A7"/>
    <w:rsid w:val="048039F3"/>
    <w:rsid w:val="05591065"/>
    <w:rsid w:val="05D404E0"/>
    <w:rsid w:val="061B1417"/>
    <w:rsid w:val="061E6450"/>
    <w:rsid w:val="06471309"/>
    <w:rsid w:val="06536106"/>
    <w:rsid w:val="069C3404"/>
    <w:rsid w:val="06A5775D"/>
    <w:rsid w:val="06F3049C"/>
    <w:rsid w:val="07471521"/>
    <w:rsid w:val="075A1D61"/>
    <w:rsid w:val="07904565"/>
    <w:rsid w:val="079D3B27"/>
    <w:rsid w:val="07F00430"/>
    <w:rsid w:val="08284179"/>
    <w:rsid w:val="085F460C"/>
    <w:rsid w:val="086C1C5C"/>
    <w:rsid w:val="08EB23A4"/>
    <w:rsid w:val="08FE53EF"/>
    <w:rsid w:val="09E279D3"/>
    <w:rsid w:val="09EE4D32"/>
    <w:rsid w:val="0A430C46"/>
    <w:rsid w:val="0A501CE2"/>
    <w:rsid w:val="0A5E1E04"/>
    <w:rsid w:val="0AAF366C"/>
    <w:rsid w:val="0AD331B1"/>
    <w:rsid w:val="0B4A7995"/>
    <w:rsid w:val="0BCF3A52"/>
    <w:rsid w:val="0C45442D"/>
    <w:rsid w:val="0C987078"/>
    <w:rsid w:val="0CC8329E"/>
    <w:rsid w:val="0CFB5AA0"/>
    <w:rsid w:val="0D1E5FD3"/>
    <w:rsid w:val="0D3F20BB"/>
    <w:rsid w:val="0DD452E5"/>
    <w:rsid w:val="0E1729A8"/>
    <w:rsid w:val="0E602F9C"/>
    <w:rsid w:val="0E6C749F"/>
    <w:rsid w:val="0EB574D7"/>
    <w:rsid w:val="0F3171B8"/>
    <w:rsid w:val="0FB7443E"/>
    <w:rsid w:val="0FC11D83"/>
    <w:rsid w:val="0FC64DFF"/>
    <w:rsid w:val="0FDB29FC"/>
    <w:rsid w:val="0FE22EE4"/>
    <w:rsid w:val="10632CF0"/>
    <w:rsid w:val="119050FA"/>
    <w:rsid w:val="11BB7EC3"/>
    <w:rsid w:val="11C4607F"/>
    <w:rsid w:val="12051AD0"/>
    <w:rsid w:val="121C252B"/>
    <w:rsid w:val="12E60324"/>
    <w:rsid w:val="12EF01EF"/>
    <w:rsid w:val="13300EAC"/>
    <w:rsid w:val="135F1B25"/>
    <w:rsid w:val="140D3883"/>
    <w:rsid w:val="14307AB5"/>
    <w:rsid w:val="153A6B2D"/>
    <w:rsid w:val="15F06D86"/>
    <w:rsid w:val="165022B8"/>
    <w:rsid w:val="166432DE"/>
    <w:rsid w:val="169426EF"/>
    <w:rsid w:val="16D5720C"/>
    <w:rsid w:val="17672161"/>
    <w:rsid w:val="176F5279"/>
    <w:rsid w:val="17F178BF"/>
    <w:rsid w:val="185679F8"/>
    <w:rsid w:val="185A0232"/>
    <w:rsid w:val="18EB19F7"/>
    <w:rsid w:val="19CB0BB7"/>
    <w:rsid w:val="1A560A32"/>
    <w:rsid w:val="1B774512"/>
    <w:rsid w:val="1B8A7F12"/>
    <w:rsid w:val="1BCC6A3B"/>
    <w:rsid w:val="1C8F4E19"/>
    <w:rsid w:val="1CF7782D"/>
    <w:rsid w:val="1D6F1D93"/>
    <w:rsid w:val="1DCA5A04"/>
    <w:rsid w:val="1E1A56F7"/>
    <w:rsid w:val="1E206E3B"/>
    <w:rsid w:val="1F190DB8"/>
    <w:rsid w:val="1F3B0713"/>
    <w:rsid w:val="1F7D39B0"/>
    <w:rsid w:val="20146544"/>
    <w:rsid w:val="201A42C1"/>
    <w:rsid w:val="202069D6"/>
    <w:rsid w:val="203940AC"/>
    <w:rsid w:val="20681763"/>
    <w:rsid w:val="20A84DB4"/>
    <w:rsid w:val="20E45012"/>
    <w:rsid w:val="20EB1F5F"/>
    <w:rsid w:val="21120DF8"/>
    <w:rsid w:val="215E669E"/>
    <w:rsid w:val="22184177"/>
    <w:rsid w:val="235274FA"/>
    <w:rsid w:val="24A2348E"/>
    <w:rsid w:val="250F21B9"/>
    <w:rsid w:val="25510F50"/>
    <w:rsid w:val="25C02810"/>
    <w:rsid w:val="26453C64"/>
    <w:rsid w:val="272713F7"/>
    <w:rsid w:val="2751722F"/>
    <w:rsid w:val="276719BC"/>
    <w:rsid w:val="27D05902"/>
    <w:rsid w:val="27DC37A9"/>
    <w:rsid w:val="28623BF9"/>
    <w:rsid w:val="287C3462"/>
    <w:rsid w:val="28CF6E2C"/>
    <w:rsid w:val="28F21A39"/>
    <w:rsid w:val="293C7EE9"/>
    <w:rsid w:val="294E31F8"/>
    <w:rsid w:val="2951306F"/>
    <w:rsid w:val="2A443692"/>
    <w:rsid w:val="2AA14F1F"/>
    <w:rsid w:val="2AC72BAF"/>
    <w:rsid w:val="2AD44A7A"/>
    <w:rsid w:val="2B415F6B"/>
    <w:rsid w:val="2C5112F1"/>
    <w:rsid w:val="2CC81804"/>
    <w:rsid w:val="2D196414"/>
    <w:rsid w:val="2D297B01"/>
    <w:rsid w:val="2D832FE9"/>
    <w:rsid w:val="2D8C1F07"/>
    <w:rsid w:val="2DF4661B"/>
    <w:rsid w:val="2E3D26FF"/>
    <w:rsid w:val="2E41071B"/>
    <w:rsid w:val="2E624F89"/>
    <w:rsid w:val="2E824BC0"/>
    <w:rsid w:val="2EA21699"/>
    <w:rsid w:val="2FA55DBA"/>
    <w:rsid w:val="2FC26CB4"/>
    <w:rsid w:val="30076DB4"/>
    <w:rsid w:val="30336CDC"/>
    <w:rsid w:val="303C5060"/>
    <w:rsid w:val="30577252"/>
    <w:rsid w:val="30633019"/>
    <w:rsid w:val="31E0792E"/>
    <w:rsid w:val="31F83353"/>
    <w:rsid w:val="320E4BE9"/>
    <w:rsid w:val="32314C38"/>
    <w:rsid w:val="32EB2A4C"/>
    <w:rsid w:val="330D464E"/>
    <w:rsid w:val="332B25F7"/>
    <w:rsid w:val="33AD2315"/>
    <w:rsid w:val="33B564D0"/>
    <w:rsid w:val="33F60224"/>
    <w:rsid w:val="34AF2831"/>
    <w:rsid w:val="3580640D"/>
    <w:rsid w:val="35844966"/>
    <w:rsid w:val="35897AE6"/>
    <w:rsid w:val="35CA55E2"/>
    <w:rsid w:val="362B11BE"/>
    <w:rsid w:val="36861C5B"/>
    <w:rsid w:val="36BB7CD8"/>
    <w:rsid w:val="36F06DE9"/>
    <w:rsid w:val="37456B71"/>
    <w:rsid w:val="379A1BD6"/>
    <w:rsid w:val="38217C85"/>
    <w:rsid w:val="383D72C3"/>
    <w:rsid w:val="385D07F9"/>
    <w:rsid w:val="38A83CB0"/>
    <w:rsid w:val="38CB7B04"/>
    <w:rsid w:val="392662F9"/>
    <w:rsid w:val="396F01E9"/>
    <w:rsid w:val="397F6D94"/>
    <w:rsid w:val="39F23F75"/>
    <w:rsid w:val="3A0361AA"/>
    <w:rsid w:val="3A9C628D"/>
    <w:rsid w:val="3AEA51CC"/>
    <w:rsid w:val="3B9A0EC6"/>
    <w:rsid w:val="3BDE3C0C"/>
    <w:rsid w:val="3BE01F77"/>
    <w:rsid w:val="3BF3164C"/>
    <w:rsid w:val="3C4E350E"/>
    <w:rsid w:val="3D050BB3"/>
    <w:rsid w:val="3D90136D"/>
    <w:rsid w:val="3DAB136C"/>
    <w:rsid w:val="3DCB422D"/>
    <w:rsid w:val="3E2C5FE8"/>
    <w:rsid w:val="3E385EC7"/>
    <w:rsid w:val="3E6C7B72"/>
    <w:rsid w:val="3ED121DC"/>
    <w:rsid w:val="3F025176"/>
    <w:rsid w:val="3F6E1769"/>
    <w:rsid w:val="3F7F09C2"/>
    <w:rsid w:val="405C67BB"/>
    <w:rsid w:val="414213F2"/>
    <w:rsid w:val="419E4F5D"/>
    <w:rsid w:val="41E8222A"/>
    <w:rsid w:val="41FF70DC"/>
    <w:rsid w:val="42BD29A8"/>
    <w:rsid w:val="42F908CD"/>
    <w:rsid w:val="43873A49"/>
    <w:rsid w:val="43E83AB7"/>
    <w:rsid w:val="44552C01"/>
    <w:rsid w:val="44952AB1"/>
    <w:rsid w:val="44A6604B"/>
    <w:rsid w:val="44E35A54"/>
    <w:rsid w:val="4503387B"/>
    <w:rsid w:val="4622068E"/>
    <w:rsid w:val="46B0600F"/>
    <w:rsid w:val="46BA115D"/>
    <w:rsid w:val="46CA5EBE"/>
    <w:rsid w:val="46EB6E72"/>
    <w:rsid w:val="475519A6"/>
    <w:rsid w:val="485A0CD5"/>
    <w:rsid w:val="49155C02"/>
    <w:rsid w:val="49281F87"/>
    <w:rsid w:val="496C4E5D"/>
    <w:rsid w:val="49A718D0"/>
    <w:rsid w:val="49C64120"/>
    <w:rsid w:val="4A0E6F5A"/>
    <w:rsid w:val="4A4F3C96"/>
    <w:rsid w:val="4A784CD8"/>
    <w:rsid w:val="4AA820DF"/>
    <w:rsid w:val="4AE80A5D"/>
    <w:rsid w:val="4B645006"/>
    <w:rsid w:val="4BBD08CB"/>
    <w:rsid w:val="4CBF6C11"/>
    <w:rsid w:val="4CCE5D7B"/>
    <w:rsid w:val="4D406D25"/>
    <w:rsid w:val="4ECE385D"/>
    <w:rsid w:val="4EDB62B0"/>
    <w:rsid w:val="4F496AF7"/>
    <w:rsid w:val="509C0F66"/>
    <w:rsid w:val="50A90B02"/>
    <w:rsid w:val="517E7440"/>
    <w:rsid w:val="519640F5"/>
    <w:rsid w:val="51B46EF6"/>
    <w:rsid w:val="51D566B8"/>
    <w:rsid w:val="51E51B71"/>
    <w:rsid w:val="51FC0273"/>
    <w:rsid w:val="523915A9"/>
    <w:rsid w:val="525251FC"/>
    <w:rsid w:val="530F6766"/>
    <w:rsid w:val="53176549"/>
    <w:rsid w:val="5322061A"/>
    <w:rsid w:val="53454FC2"/>
    <w:rsid w:val="54097BF3"/>
    <w:rsid w:val="54237DE4"/>
    <w:rsid w:val="5473156C"/>
    <w:rsid w:val="548C65CC"/>
    <w:rsid w:val="54B12B02"/>
    <w:rsid w:val="54C72582"/>
    <w:rsid w:val="54CF65DA"/>
    <w:rsid w:val="55A1585F"/>
    <w:rsid w:val="565F5EB2"/>
    <w:rsid w:val="57096445"/>
    <w:rsid w:val="57110A34"/>
    <w:rsid w:val="5794199C"/>
    <w:rsid w:val="580863AD"/>
    <w:rsid w:val="583820A8"/>
    <w:rsid w:val="58672F1D"/>
    <w:rsid w:val="586D680B"/>
    <w:rsid w:val="58732B29"/>
    <w:rsid w:val="58B45464"/>
    <w:rsid w:val="58D3772A"/>
    <w:rsid w:val="599C5923"/>
    <w:rsid w:val="59A8211B"/>
    <w:rsid w:val="59CA515D"/>
    <w:rsid w:val="5A217A9E"/>
    <w:rsid w:val="5A7F663D"/>
    <w:rsid w:val="5BFD2AF2"/>
    <w:rsid w:val="5C2C208F"/>
    <w:rsid w:val="5C646AF8"/>
    <w:rsid w:val="5D0E0908"/>
    <w:rsid w:val="5D412C09"/>
    <w:rsid w:val="5D5118F2"/>
    <w:rsid w:val="5DBB0C6C"/>
    <w:rsid w:val="5DF77B5B"/>
    <w:rsid w:val="5E8A3C37"/>
    <w:rsid w:val="5E8A7338"/>
    <w:rsid w:val="5F25468C"/>
    <w:rsid w:val="5F391A40"/>
    <w:rsid w:val="5F674C89"/>
    <w:rsid w:val="5F755779"/>
    <w:rsid w:val="60264CFD"/>
    <w:rsid w:val="603C6E83"/>
    <w:rsid w:val="605A041B"/>
    <w:rsid w:val="60EE2297"/>
    <w:rsid w:val="61584188"/>
    <w:rsid w:val="61DA02A1"/>
    <w:rsid w:val="620D7882"/>
    <w:rsid w:val="64155D3B"/>
    <w:rsid w:val="64F44568"/>
    <w:rsid w:val="65786F5D"/>
    <w:rsid w:val="65842C99"/>
    <w:rsid w:val="65BB4BB3"/>
    <w:rsid w:val="66B7143D"/>
    <w:rsid w:val="66B96BCD"/>
    <w:rsid w:val="66EC3709"/>
    <w:rsid w:val="66F03A64"/>
    <w:rsid w:val="67262917"/>
    <w:rsid w:val="672C7499"/>
    <w:rsid w:val="68241926"/>
    <w:rsid w:val="686626E0"/>
    <w:rsid w:val="688C0993"/>
    <w:rsid w:val="68E97A29"/>
    <w:rsid w:val="691C63F1"/>
    <w:rsid w:val="694F157A"/>
    <w:rsid w:val="697C1238"/>
    <w:rsid w:val="6993207A"/>
    <w:rsid w:val="69F37E3E"/>
    <w:rsid w:val="6ACF6908"/>
    <w:rsid w:val="6AD119E0"/>
    <w:rsid w:val="6AE01CA3"/>
    <w:rsid w:val="6AE96A61"/>
    <w:rsid w:val="6BB51466"/>
    <w:rsid w:val="6BBC62FC"/>
    <w:rsid w:val="6BE755C9"/>
    <w:rsid w:val="6C160424"/>
    <w:rsid w:val="6C350725"/>
    <w:rsid w:val="6C7A1910"/>
    <w:rsid w:val="6DA55C6C"/>
    <w:rsid w:val="6E1F53A8"/>
    <w:rsid w:val="6F4D1B1E"/>
    <w:rsid w:val="6F6A441D"/>
    <w:rsid w:val="6FA37227"/>
    <w:rsid w:val="6FC852EB"/>
    <w:rsid w:val="6FCD1803"/>
    <w:rsid w:val="702C75FD"/>
    <w:rsid w:val="70591079"/>
    <w:rsid w:val="70A80A2B"/>
    <w:rsid w:val="70BC5A4C"/>
    <w:rsid w:val="71077344"/>
    <w:rsid w:val="71111DCA"/>
    <w:rsid w:val="713A4532"/>
    <w:rsid w:val="715A4450"/>
    <w:rsid w:val="71E64E2A"/>
    <w:rsid w:val="72520718"/>
    <w:rsid w:val="72F26483"/>
    <w:rsid w:val="733E538B"/>
    <w:rsid w:val="73CF7F9B"/>
    <w:rsid w:val="740A6A0C"/>
    <w:rsid w:val="74761BE4"/>
    <w:rsid w:val="74784C48"/>
    <w:rsid w:val="749F6614"/>
    <w:rsid w:val="74FC343F"/>
    <w:rsid w:val="75BE721E"/>
    <w:rsid w:val="75E55875"/>
    <w:rsid w:val="76133C3B"/>
    <w:rsid w:val="768478B5"/>
    <w:rsid w:val="76C12C1B"/>
    <w:rsid w:val="76E5384B"/>
    <w:rsid w:val="76F35FAA"/>
    <w:rsid w:val="77431939"/>
    <w:rsid w:val="77A04D91"/>
    <w:rsid w:val="78203E54"/>
    <w:rsid w:val="78BC3974"/>
    <w:rsid w:val="78DA0278"/>
    <w:rsid w:val="78DE33DA"/>
    <w:rsid w:val="79814982"/>
    <w:rsid w:val="7A015510"/>
    <w:rsid w:val="7A687ADB"/>
    <w:rsid w:val="7A726DEE"/>
    <w:rsid w:val="7AE345C1"/>
    <w:rsid w:val="7B2377A8"/>
    <w:rsid w:val="7B2C4748"/>
    <w:rsid w:val="7C052F11"/>
    <w:rsid w:val="7C2E36DC"/>
    <w:rsid w:val="7C6E4E28"/>
    <w:rsid w:val="7CAE032F"/>
    <w:rsid w:val="7CE54530"/>
    <w:rsid w:val="7D0A5FAE"/>
    <w:rsid w:val="7D71348F"/>
    <w:rsid w:val="7E4F64EC"/>
    <w:rsid w:val="7EB54A02"/>
    <w:rsid w:val="7F291E75"/>
    <w:rsid w:val="7FCD4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8">
    <w:name w:val="Default Paragraph Font"/>
    <w:link w:val="19"/>
    <w:semiHidden/>
    <w:unhideWhenUsed/>
    <w:qFormat/>
    <w:uiPriority w:val="1"/>
    <w:rPr>
      <w:rFonts w:ascii="Times New Roman" w:hAnsi="Times New Roman" w:eastAsia="仿宋_GB2312" w:cs="Times New Roman"/>
      <w:sz w:val="32"/>
      <w:szCs w:val="20"/>
    </w:rPr>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4">
    <w:name w:val="annotation text"/>
    <w:basedOn w:val="1"/>
    <w:link w:val="36"/>
    <w:semiHidden/>
    <w:unhideWhenUsed/>
    <w:qFormat/>
    <w:uiPriority w:val="99"/>
    <w:pPr>
      <w:jc w:val="left"/>
    </w:pPr>
  </w:style>
  <w:style w:type="paragraph" w:styleId="5">
    <w:name w:val="Body Text"/>
    <w:basedOn w:val="1"/>
    <w:qFormat/>
    <w:uiPriority w:val="0"/>
    <w:rPr>
      <w:sz w:val="29"/>
    </w:rPr>
  </w:style>
  <w:style w:type="paragraph" w:styleId="6">
    <w:name w:val="Body Text Indent"/>
    <w:basedOn w:val="1"/>
    <w:link w:val="24"/>
    <w:semiHidden/>
    <w:unhideWhenUsed/>
    <w:qFormat/>
    <w:uiPriority w:val="99"/>
    <w:pPr>
      <w:spacing w:after="120"/>
      <w:ind w:left="420" w:leftChars="200"/>
    </w:pPr>
  </w:style>
  <w:style w:type="paragraph" w:styleId="7">
    <w:name w:val="Plain Text"/>
    <w:basedOn w:val="1"/>
    <w:qFormat/>
    <w:uiPriority w:val="0"/>
    <w:rPr>
      <w:rFonts w:ascii="宋体" w:hAnsi="Courier New"/>
      <w:szCs w:val="20"/>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1"/>
    <w:qFormat/>
    <w:uiPriority w:val="0"/>
    <w:rPr>
      <w:rFonts w:ascii="Calibri" w:hAnsi="Calibri" w:eastAsiaTheme="minorEastAsia" w:cstheme="minorBidi"/>
      <w:sz w:val="18"/>
      <w:szCs w:val="18"/>
    </w:rPr>
  </w:style>
  <w:style w:type="paragraph" w:styleId="10">
    <w:name w:val="footer"/>
    <w:basedOn w:val="1"/>
    <w:link w:val="27"/>
    <w:qFormat/>
    <w:uiPriority w:val="99"/>
    <w:pPr>
      <w:tabs>
        <w:tab w:val="center" w:pos="4153"/>
        <w:tab w:val="right" w:pos="8306"/>
      </w:tabs>
      <w:snapToGrid w:val="0"/>
      <w:jc w:val="left"/>
    </w:pPr>
    <w:rPr>
      <w:rFonts w:hAnsiTheme="minorHAnsi" w:cstheme="minorBidi"/>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rFonts w:hAnsiTheme="minorHAnsi" w:cstheme="minorBidi"/>
      <w:sz w:val="18"/>
      <w:szCs w:val="18"/>
    </w:rPr>
  </w:style>
  <w:style w:type="paragraph" w:styleId="1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unhideWhenUsed/>
    <w:qFormat/>
    <w:uiPriority w:val="0"/>
    <w:pPr>
      <w:jc w:val="left"/>
    </w:pPr>
    <w:rPr>
      <w:rFonts w:ascii="Times New Roman" w:eastAsia="宋体"/>
      <w:kern w:val="0"/>
      <w:sz w:val="24"/>
      <w:szCs w:val="20"/>
    </w:rPr>
  </w:style>
  <w:style w:type="paragraph" w:styleId="14">
    <w:name w:val="Body Text First Indent"/>
    <w:basedOn w:val="5"/>
    <w:qFormat/>
    <w:uiPriority w:val="0"/>
    <w:pPr>
      <w:ind w:firstLine="420" w:firstLineChars="100"/>
    </w:pPr>
    <w:rPr>
      <w:sz w:val="20"/>
    </w:rPr>
  </w:style>
  <w:style w:type="paragraph" w:styleId="15">
    <w:name w:val="Body Text First Indent 2"/>
    <w:basedOn w:val="6"/>
    <w:link w:val="25"/>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_Style 14"/>
    <w:basedOn w:val="1"/>
    <w:link w:val="18"/>
    <w:qFormat/>
    <w:uiPriority w:val="0"/>
    <w:pPr>
      <w:numPr>
        <w:ilvl w:val="0"/>
        <w:numId w:val="1"/>
      </w:numPr>
      <w:tabs>
        <w:tab w:val="left" w:pos="1200"/>
      </w:tabs>
    </w:pPr>
    <w:rPr>
      <w:rFonts w:ascii="Times New Roman" w:hAnsi="Times New Roman" w:eastAsia="仿宋_GB2312" w:cs="Times New Roman"/>
      <w:sz w:val="32"/>
      <w:szCs w:val="20"/>
    </w:rPr>
  </w:style>
  <w:style w:type="character" w:styleId="20">
    <w:name w:val="Strong"/>
    <w:basedOn w:val="18"/>
    <w:qFormat/>
    <w:uiPriority w:val="0"/>
    <w:rPr>
      <w:b/>
    </w:rPr>
  </w:style>
  <w:style w:type="character" w:styleId="21">
    <w:name w:val="page number"/>
    <w:basedOn w:val="18"/>
    <w:qFormat/>
    <w:uiPriority w:val="99"/>
  </w:style>
  <w:style w:type="character" w:styleId="22">
    <w:name w:val="annotation reference"/>
    <w:basedOn w:val="18"/>
    <w:semiHidden/>
    <w:unhideWhenUsed/>
    <w:qFormat/>
    <w:uiPriority w:val="99"/>
    <w:rPr>
      <w:sz w:val="21"/>
      <w:szCs w:val="21"/>
    </w:rPr>
  </w:style>
  <w:style w:type="paragraph" w:customStyle="1" w:styleId="23">
    <w:name w:val="BodyText"/>
    <w:basedOn w:val="1"/>
    <w:qFormat/>
    <w:uiPriority w:val="0"/>
    <w:pPr>
      <w:ind w:left="111"/>
      <w:textAlignment w:val="baseline"/>
    </w:pPr>
    <w:rPr>
      <w:rFonts w:ascii="仿宋_GB2312" w:hAnsi="仿宋_GB2312" w:eastAsia="仿宋_GB2312"/>
      <w:sz w:val="33"/>
      <w:szCs w:val="33"/>
    </w:rPr>
  </w:style>
  <w:style w:type="character" w:customStyle="1" w:styleId="24">
    <w:name w:val="正文文本缩进 Char"/>
    <w:basedOn w:val="18"/>
    <w:link w:val="6"/>
    <w:semiHidden/>
    <w:qFormat/>
    <w:uiPriority w:val="99"/>
    <w:rPr>
      <w:rFonts w:ascii="仿宋_GB2312" w:hAnsi="Times New Roman" w:eastAsia="仿宋_GB2312" w:cs="Times New Roman"/>
      <w:sz w:val="32"/>
      <w:szCs w:val="32"/>
    </w:rPr>
  </w:style>
  <w:style w:type="character" w:customStyle="1" w:styleId="25">
    <w:name w:val="正文首行缩进 2 Char"/>
    <w:basedOn w:val="24"/>
    <w:link w:val="15"/>
    <w:qFormat/>
    <w:uiPriority w:val="0"/>
    <w:rPr>
      <w:rFonts w:ascii="仿宋_GB2312" w:hAnsi="Times New Roman" w:eastAsia="仿宋_GB2312" w:cs="Times New Roman"/>
      <w:sz w:val="32"/>
      <w:szCs w:val="32"/>
    </w:rPr>
  </w:style>
  <w:style w:type="character" w:customStyle="1" w:styleId="26">
    <w:name w:val="页眉 Char"/>
    <w:basedOn w:val="18"/>
    <w:link w:val="11"/>
    <w:qFormat/>
    <w:locked/>
    <w:uiPriority w:val="99"/>
    <w:rPr>
      <w:rFonts w:ascii="仿宋_GB2312" w:eastAsia="仿宋_GB2312"/>
      <w:sz w:val="18"/>
      <w:szCs w:val="18"/>
    </w:rPr>
  </w:style>
  <w:style w:type="character" w:customStyle="1" w:styleId="27">
    <w:name w:val="页脚 Char"/>
    <w:basedOn w:val="18"/>
    <w:link w:val="10"/>
    <w:qFormat/>
    <w:locked/>
    <w:uiPriority w:val="99"/>
    <w:rPr>
      <w:rFonts w:ascii="仿宋_GB2312" w:eastAsia="仿宋_GB2312"/>
      <w:sz w:val="18"/>
      <w:szCs w:val="18"/>
    </w:rPr>
  </w:style>
  <w:style w:type="character" w:customStyle="1" w:styleId="28">
    <w:name w:val="页脚 字符"/>
    <w:basedOn w:val="18"/>
    <w:semiHidden/>
    <w:qFormat/>
    <w:uiPriority w:val="99"/>
    <w:rPr>
      <w:rFonts w:ascii="仿宋_GB2312" w:hAnsi="Times New Roman" w:eastAsia="仿宋_GB2312" w:cs="Times New Roman"/>
      <w:sz w:val="18"/>
      <w:szCs w:val="18"/>
    </w:rPr>
  </w:style>
  <w:style w:type="character" w:customStyle="1" w:styleId="29">
    <w:name w:val="页眉 字符"/>
    <w:basedOn w:val="18"/>
    <w:semiHidden/>
    <w:qFormat/>
    <w:uiPriority w:val="99"/>
    <w:rPr>
      <w:rFonts w:ascii="仿宋_GB2312" w:hAnsi="Times New Roman" w:eastAsia="仿宋_GB2312" w:cs="Times New Roman"/>
      <w:sz w:val="18"/>
      <w:szCs w:val="18"/>
    </w:rPr>
  </w:style>
  <w:style w:type="paragraph" w:customStyle="1" w:styleId="30">
    <w:name w:val="_Style 16"/>
    <w:basedOn w:val="6"/>
    <w:next w:val="15"/>
    <w:qFormat/>
    <w:uiPriority w:val="0"/>
    <w:pPr>
      <w:ind w:firstLine="420" w:firstLineChars="200"/>
    </w:pPr>
  </w:style>
  <w:style w:type="character" w:customStyle="1" w:styleId="31">
    <w:name w:val="批注框文本 Char"/>
    <w:basedOn w:val="18"/>
    <w:link w:val="9"/>
    <w:qFormat/>
    <w:uiPriority w:val="0"/>
    <w:rPr>
      <w:rFonts w:ascii="Calibri" w:hAnsi="Calibri"/>
      <w:sz w:val="18"/>
      <w:szCs w:val="18"/>
    </w:rPr>
  </w:style>
  <w:style w:type="character" w:customStyle="1" w:styleId="32">
    <w:name w:val="批注框文本 字符1"/>
    <w:basedOn w:val="18"/>
    <w:semiHidden/>
    <w:qFormat/>
    <w:uiPriority w:val="99"/>
    <w:rPr>
      <w:rFonts w:ascii="仿宋_GB2312" w:hAnsi="Times New Roman" w:eastAsia="仿宋_GB2312" w:cs="Times New Roman"/>
      <w:sz w:val="18"/>
      <w:szCs w:val="18"/>
    </w:rPr>
  </w:style>
  <w:style w:type="character" w:customStyle="1" w:styleId="33">
    <w:name w:val="日期 Char"/>
    <w:basedOn w:val="18"/>
    <w:link w:val="8"/>
    <w:semiHidden/>
    <w:qFormat/>
    <w:uiPriority w:val="99"/>
    <w:rPr>
      <w:rFonts w:ascii="仿宋_GB2312" w:hAnsi="Times New Roman" w:eastAsia="仿宋_GB2312" w:cs="Times New Roman"/>
      <w:sz w:val="32"/>
      <w:szCs w:val="32"/>
    </w:rPr>
  </w:style>
  <w:style w:type="character" w:customStyle="1" w:styleId="34">
    <w:name w:val="NormalCharacter"/>
    <w:qFormat/>
    <w:uiPriority w:val="0"/>
    <w:rPr>
      <w:rFonts w:eastAsia="仿宋_GB2312"/>
      <w:kern w:val="2"/>
      <w:sz w:val="32"/>
      <w:szCs w:val="24"/>
      <w:lang w:val="en-US" w:eastAsia="zh-CN" w:bidi="ar-SA"/>
    </w:rPr>
  </w:style>
  <w:style w:type="character" w:customStyle="1" w:styleId="35">
    <w:name w:val="UserStyle_0"/>
    <w:semiHidden/>
    <w:qFormat/>
    <w:uiPriority w:val="0"/>
  </w:style>
  <w:style w:type="character" w:customStyle="1" w:styleId="36">
    <w:name w:val="批注文字 Char"/>
    <w:basedOn w:val="18"/>
    <w:link w:val="4"/>
    <w:semiHidden/>
    <w:qFormat/>
    <w:uiPriority w:val="99"/>
    <w:rPr>
      <w:rFonts w:ascii="仿宋_GB2312" w:hAnsi="Times New Roman" w:eastAsia="仿宋_GB2312" w:cs="Times New Roman"/>
      <w:kern w:val="2"/>
      <w:sz w:val="32"/>
      <w:szCs w:val="32"/>
    </w:rPr>
  </w:style>
  <w:style w:type="paragraph" w:styleId="37">
    <w:name w:val="List Paragraph"/>
    <w:basedOn w:val="1"/>
    <w:qFormat/>
    <w:uiPriority w:val="99"/>
    <w:pPr>
      <w:ind w:firstLine="420" w:firstLineChars="200"/>
    </w:pPr>
    <w:rPr>
      <w:rFonts w:ascii="Calibri" w:hAnsi="Calibri" w:eastAsia="宋体" w:cs="Times New Roman"/>
      <w:szCs w:val="24"/>
    </w:rPr>
  </w:style>
  <w:style w:type="character" w:customStyle="1" w:styleId="38">
    <w:name w:val="font01"/>
    <w:basedOn w:val="18"/>
    <w:qFormat/>
    <w:uiPriority w:val="0"/>
    <w:rPr>
      <w:rFonts w:hint="default" w:ascii="等线" w:hAnsi="等线" w:eastAsia="等线" w:cs="等线"/>
      <w:color w:val="000000"/>
      <w:sz w:val="22"/>
      <w:szCs w:val="22"/>
      <w:u w:val="none"/>
    </w:rPr>
  </w:style>
  <w:style w:type="character" w:customStyle="1" w:styleId="39">
    <w:name w:val="font21"/>
    <w:basedOn w:val="18"/>
    <w:qFormat/>
    <w:uiPriority w:val="0"/>
    <w:rPr>
      <w:rFonts w:ascii="微软雅黑" w:hAnsi="微软雅黑" w:eastAsia="微软雅黑" w:cs="微软雅黑"/>
      <w:color w:val="000000"/>
      <w:sz w:val="22"/>
      <w:szCs w:val="22"/>
      <w:u w:val="none"/>
    </w:rPr>
  </w:style>
  <w:style w:type="character" w:customStyle="1" w:styleId="40">
    <w:name w:val="p9"/>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BCA59-B503-47B8-A9C8-477C23E9C93F}">
  <ds:schemaRefs/>
</ds:datastoreItem>
</file>

<file path=docProps/app.xml><?xml version="1.0" encoding="utf-8"?>
<Properties xmlns="http://schemas.openxmlformats.org/officeDocument/2006/extended-properties" xmlns:vt="http://schemas.openxmlformats.org/officeDocument/2006/docPropsVTypes">
  <Template>Normal</Template>
  <Pages>9</Pages>
  <Words>69</Words>
  <Characters>397</Characters>
  <Lines>3</Lines>
  <Paragraphs>1</Paragraphs>
  <TotalTime>4</TotalTime>
  <ScaleCrop>false</ScaleCrop>
  <LinksUpToDate>false</LinksUpToDate>
  <CharactersWithSpaces>465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2020-08-06T09:35:00Z</dcterms:created>
  <dc:creator>pfy</dc:creator>
  <cp:lastModifiedBy>Administrator</cp:lastModifiedBy>
  <cp:lastPrinted>2021-07-14T00:47:37Z</cp:lastPrinted>
  <dcterms:modified xsi:type="dcterms:W3CDTF">2021-07-14T00:47:41Z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