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E6D11">
      <w:pPr>
        <w:pStyle w:val="2"/>
        <w:keepNext/>
        <w:keepLines/>
        <w:pageBreakBefore w:val="0"/>
        <w:widowControl w:val="0"/>
        <w:kinsoku/>
        <w:wordWrap/>
        <w:overflowPunct/>
        <w:topLinePunct w:val="0"/>
        <w:autoSpaceDE/>
        <w:autoSpaceDN/>
        <w:bidi w:val="0"/>
        <w:adjustRightInd w:val="0"/>
        <w:snapToGrid/>
        <w:spacing w:before="300" w:after="120" w:line="360" w:lineRule="auto"/>
        <w:jc w:val="center"/>
        <w:textAlignment w:val="baseline"/>
        <w:rPr>
          <w:rFonts w:hint="eastAsia" w:ascii="仿宋" w:hAnsi="仿宋" w:eastAsia="仿宋" w:cs="仿宋"/>
          <w:color w:val="auto"/>
          <w:highlight w:val="none"/>
        </w:rPr>
      </w:pPr>
      <w:bookmarkStart w:id="0" w:name="_Toc27478"/>
      <w:bookmarkStart w:id="1" w:name="_Toc32432"/>
      <w:bookmarkStart w:id="2" w:name="_Toc26539"/>
      <w:bookmarkStart w:id="3" w:name="_Toc12988"/>
      <w:r>
        <w:rPr>
          <w:rFonts w:hint="eastAsia" w:ascii="仿宋" w:hAnsi="仿宋" w:eastAsia="仿宋" w:cs="仿宋"/>
          <w:color w:val="auto"/>
          <w:highlight w:val="none"/>
        </w:rPr>
        <w:t>招标公告</w:t>
      </w:r>
      <w:bookmarkEnd w:id="0"/>
      <w:bookmarkEnd w:id="1"/>
      <w:bookmarkEnd w:id="2"/>
      <w:bookmarkEnd w:id="3"/>
    </w:p>
    <w:p w14:paraId="3F2E8E0F">
      <w:pPr>
        <w:rPr>
          <w:rFonts w:hint="default" w:eastAsia="仿宋"/>
          <w:b/>
          <w:bCs/>
          <w:color w:val="auto"/>
          <w:highlight w:val="none"/>
          <w:lang w:val="en-US" w:eastAsia="zh-CN"/>
        </w:rPr>
      </w:pPr>
      <w:r>
        <w:rPr>
          <w:rFonts w:hint="eastAsia" w:ascii="仿宋" w:hAnsi="仿宋" w:eastAsia="仿宋" w:cs="仿宋"/>
          <w:color w:val="auto"/>
          <w:highlight w:val="none"/>
          <w:lang w:val="en-US" w:eastAsia="zh-CN"/>
        </w:rPr>
        <w:t xml:space="preserve">                                        </w:t>
      </w:r>
      <w:r>
        <w:rPr>
          <w:rFonts w:hint="eastAsia" w:ascii="仿宋" w:hAnsi="仿宋" w:eastAsia="仿宋" w:cs="仿宋"/>
          <w:b/>
          <w:bCs/>
          <w:color w:val="auto"/>
          <w:sz w:val="21"/>
          <w:szCs w:val="21"/>
          <w:highlight w:val="none"/>
          <w:lang w:val="en-US" w:eastAsia="zh-CN"/>
        </w:rPr>
        <w:t xml:space="preserve">招标编号：晋磁招标[2023]10号 </w:t>
      </w:r>
    </w:p>
    <w:p w14:paraId="7E34071D">
      <w:pPr>
        <w:keepNext w:val="0"/>
        <w:keepLines w:val="0"/>
        <w:pageBreakBefore w:val="0"/>
        <w:widowControl/>
        <w:numPr>
          <w:ilvl w:val="0"/>
          <w:numId w:val="1"/>
        </w:numPr>
        <w:tabs>
          <w:tab w:val="left" w:pos="900"/>
          <w:tab w:val="left" w:pos="1100"/>
        </w:tabs>
        <w:kinsoku/>
        <w:overflowPunct/>
        <w:topLinePunct w:val="0"/>
        <w:autoSpaceDE/>
        <w:autoSpaceDN/>
        <w:bidi w:val="0"/>
        <w:adjustRightInd/>
        <w:spacing w:line="500" w:lineRule="atLeas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招标条件</w:t>
      </w:r>
    </w:p>
    <w:p w14:paraId="78453090">
      <w:pPr>
        <w:keepNext w:val="0"/>
        <w:keepLines w:val="0"/>
        <w:pageBreakBefore w:val="0"/>
        <w:widowControl/>
        <w:kinsoku/>
        <w:overflowPunct/>
        <w:topLinePunct w:val="0"/>
        <w:autoSpaceDE/>
        <w:autoSpaceDN/>
        <w:bidi w:val="0"/>
        <w:adjustRightInd/>
        <w:spacing w:line="500" w:lineRule="atLeast"/>
        <w:ind w:firstLine="499" w:firstLineChars="208"/>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本招标项目</w:t>
      </w:r>
      <w:r>
        <w:rPr>
          <w:rFonts w:hint="eastAsia" w:ascii="仿宋" w:hAnsi="仿宋" w:eastAsia="仿宋" w:cs="仿宋"/>
          <w:color w:val="auto"/>
          <w:sz w:val="24"/>
          <w:highlight w:val="none"/>
          <w:u w:val="single"/>
        </w:rPr>
        <w:t xml:space="preserve"> </w:t>
      </w:r>
      <w:r>
        <w:rPr>
          <w:rFonts w:hint="eastAsia" w:ascii="仿宋" w:hAnsi="仿宋" w:eastAsia="仿宋" w:cs="仿宋"/>
          <w:b/>
          <w:bCs/>
          <w:color w:val="auto"/>
          <w:sz w:val="24"/>
          <w:highlight w:val="none"/>
          <w:u w:val="single"/>
          <w:lang w:eastAsia="zh-CN"/>
        </w:rPr>
        <w:t>苏垵村俞大路(二期)硬化工程</w:t>
      </w:r>
      <w:r>
        <w:rPr>
          <w:rFonts w:hint="eastAsia"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shd w:val="clear" w:color="auto" w:fill="auto"/>
        </w:rPr>
        <w:t>，建设单位为</w:t>
      </w:r>
      <w:r>
        <w:rPr>
          <w:rFonts w:hint="eastAsia" w:ascii="仿宋" w:hAnsi="仿宋" w:eastAsia="仿宋" w:cs="仿宋"/>
          <w:b/>
          <w:color w:val="auto"/>
          <w:sz w:val="24"/>
          <w:highlight w:val="none"/>
          <w:u w:val="single"/>
          <w:shd w:val="clear" w:color="auto" w:fill="auto"/>
          <w:lang w:val="en-US" w:eastAsia="zh-CN"/>
        </w:rPr>
        <w:t xml:space="preserve"> 福建省泉州市晋江市磁灶镇苏垵村民委员会 </w:t>
      </w:r>
      <w:r>
        <w:rPr>
          <w:rFonts w:hint="eastAsia" w:ascii="仿宋" w:hAnsi="仿宋" w:eastAsia="仿宋" w:cs="仿宋"/>
          <w:color w:val="auto"/>
          <w:sz w:val="24"/>
          <w:highlight w:val="none"/>
          <w:shd w:val="clear" w:color="auto" w:fill="auto"/>
        </w:rPr>
        <w:t>，建设资金来源</w:t>
      </w:r>
      <w:r>
        <w:rPr>
          <w:rFonts w:hint="eastAsia" w:ascii="仿宋" w:hAnsi="仿宋" w:eastAsia="仿宋" w:cs="仿宋"/>
          <w:b/>
          <w:color w:val="auto"/>
          <w:sz w:val="24"/>
          <w:highlight w:val="none"/>
          <w:u w:val="single"/>
          <w:shd w:val="clear" w:color="auto" w:fill="auto"/>
          <w:lang w:val="en-US" w:eastAsia="zh-CN"/>
        </w:rPr>
        <w:t xml:space="preserve"> 自筹 </w:t>
      </w:r>
      <w:r>
        <w:rPr>
          <w:rFonts w:hint="eastAsia" w:ascii="仿宋" w:hAnsi="仿宋" w:eastAsia="仿宋" w:cs="仿宋"/>
          <w:color w:val="auto"/>
          <w:sz w:val="24"/>
          <w:highlight w:val="none"/>
          <w:shd w:val="clear" w:color="auto" w:fill="auto"/>
        </w:rPr>
        <w:t>，招标</w:t>
      </w:r>
      <w:r>
        <w:rPr>
          <w:rFonts w:hint="eastAsia" w:ascii="仿宋" w:hAnsi="仿宋" w:eastAsia="仿宋" w:cs="仿宋"/>
          <w:color w:val="auto"/>
          <w:sz w:val="24"/>
          <w:highlight w:val="none"/>
        </w:rPr>
        <w:t>人为</w:t>
      </w:r>
      <w:r>
        <w:rPr>
          <w:rFonts w:hint="eastAsia" w:ascii="仿宋" w:hAnsi="仿宋" w:eastAsia="仿宋" w:cs="仿宋"/>
          <w:b/>
          <w:color w:val="auto"/>
          <w:sz w:val="24"/>
          <w:highlight w:val="none"/>
          <w:u w:val="single"/>
          <w:lang w:val="en-US" w:eastAsia="zh-CN"/>
        </w:rPr>
        <w:t xml:space="preserve"> 福建省泉州市晋江市磁灶镇苏垵村民委员会 </w:t>
      </w:r>
      <w:r>
        <w:rPr>
          <w:rFonts w:hint="eastAsia" w:ascii="仿宋" w:hAnsi="仿宋" w:eastAsia="仿宋" w:cs="仿宋"/>
          <w:color w:val="auto"/>
          <w:sz w:val="24"/>
          <w:highlight w:val="none"/>
        </w:rPr>
        <w:t>，委托的招标代理单位为</w:t>
      </w:r>
      <w:r>
        <w:rPr>
          <w:rFonts w:hint="eastAsia" w:ascii="仿宋" w:hAnsi="仿宋" w:eastAsia="仿宋" w:cs="仿宋"/>
          <w:b/>
          <w:color w:val="auto"/>
          <w:sz w:val="24"/>
          <w:highlight w:val="none"/>
          <w:u w:val="single"/>
          <w:lang w:eastAsia="zh-CN"/>
        </w:rPr>
        <w:t xml:space="preserve">泉州晋港工程项目管理有限公司 </w:t>
      </w:r>
      <w:r>
        <w:rPr>
          <w:rFonts w:hint="eastAsia" w:ascii="仿宋" w:hAnsi="仿宋" w:eastAsia="仿宋" w:cs="仿宋"/>
          <w:color w:val="auto"/>
          <w:sz w:val="24"/>
          <w:highlight w:val="none"/>
        </w:rPr>
        <w:t>。本项目已具备招标条件，现对该项目的施工进行公开招标。</w:t>
      </w:r>
    </w:p>
    <w:p w14:paraId="6CE1B443">
      <w:pPr>
        <w:keepNext w:val="0"/>
        <w:keepLines w:val="0"/>
        <w:pageBreakBefore w:val="0"/>
        <w:widowControl/>
        <w:numPr>
          <w:ilvl w:val="0"/>
          <w:numId w:val="1"/>
        </w:numPr>
        <w:tabs>
          <w:tab w:val="left" w:pos="900"/>
          <w:tab w:val="left" w:pos="1100"/>
        </w:tabs>
        <w:kinsoku/>
        <w:overflowPunct/>
        <w:topLinePunct w:val="0"/>
        <w:autoSpaceDE/>
        <w:autoSpaceDN/>
        <w:bidi w:val="0"/>
        <w:adjustRightInd/>
        <w:spacing w:line="500" w:lineRule="atLeas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项目概况和招标范围</w:t>
      </w:r>
    </w:p>
    <w:p w14:paraId="4FBDA2B0">
      <w:pPr>
        <w:keepNext w:val="0"/>
        <w:keepLines w:val="0"/>
        <w:pageBreakBefore w:val="0"/>
        <w:widowControl/>
        <w:numPr>
          <w:ilvl w:val="1"/>
          <w:numId w:val="1"/>
        </w:numPr>
        <w:kinsoku/>
        <w:overflowPunct/>
        <w:topLinePunct w:val="0"/>
        <w:autoSpaceDE/>
        <w:autoSpaceDN/>
        <w:bidi w:val="0"/>
        <w:adjustRightInd/>
        <w:spacing w:line="500" w:lineRule="atLeast"/>
        <w:ind w:left="90" w:leftChars="0" w:firstLineChars="0"/>
        <w:jc w:val="left"/>
        <w:textAlignment w:val="auto"/>
        <w:rPr>
          <w:rFonts w:hint="eastAsia" w:ascii="仿宋" w:hAnsi="仿宋" w:eastAsia="仿宋" w:cs="仿宋"/>
          <w:b w:val="0"/>
          <w:bCs w:val="0"/>
          <w:color w:val="auto"/>
          <w:sz w:val="24"/>
          <w:highlight w:val="none"/>
        </w:rPr>
      </w:pPr>
      <w:r>
        <w:rPr>
          <w:rFonts w:hint="eastAsia" w:ascii="仿宋" w:hAnsi="仿宋" w:eastAsia="仿宋" w:cs="仿宋"/>
          <w:color w:val="auto"/>
          <w:sz w:val="24"/>
          <w:highlight w:val="none"/>
        </w:rPr>
        <w:t>工程建设地点：</w:t>
      </w:r>
      <w:r>
        <w:rPr>
          <w:rFonts w:hint="eastAsia" w:ascii="仿宋" w:hAnsi="仿宋" w:eastAsia="仿宋" w:cs="仿宋"/>
          <w:color w:val="auto"/>
          <w:sz w:val="24"/>
          <w:highlight w:val="none"/>
          <w:u w:val="single"/>
          <w:lang w:eastAsia="zh-CN"/>
        </w:rPr>
        <w:t>晋江市磁灶镇</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b w:val="0"/>
          <w:bCs w:val="0"/>
          <w:color w:val="auto"/>
          <w:sz w:val="24"/>
          <w:highlight w:val="none"/>
        </w:rPr>
        <w:t>；</w:t>
      </w:r>
    </w:p>
    <w:p w14:paraId="28188E5E">
      <w:pPr>
        <w:keepNext w:val="0"/>
        <w:keepLines w:val="0"/>
        <w:pageBreakBefore w:val="0"/>
        <w:widowControl/>
        <w:numPr>
          <w:ilvl w:val="1"/>
          <w:numId w:val="1"/>
        </w:numPr>
        <w:kinsoku/>
        <w:wordWrap w:val="0"/>
        <w:overflowPunct/>
        <w:topLinePunct w:val="0"/>
        <w:autoSpaceDE/>
        <w:autoSpaceDN/>
        <w:bidi w:val="0"/>
        <w:adjustRightInd/>
        <w:snapToGrid/>
        <w:spacing w:line="500" w:lineRule="atLeast"/>
        <w:ind w:left="91" w:leftChars="0" w:firstLine="510" w:firstLineChars="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工程建设规模：</w:t>
      </w:r>
      <w:r>
        <w:rPr>
          <w:rFonts w:hint="eastAsia" w:ascii="仿宋" w:hAnsi="仿宋" w:eastAsia="仿宋" w:cs="仿宋"/>
          <w:color w:val="auto"/>
          <w:sz w:val="24"/>
          <w:highlight w:val="none"/>
          <w:u w:val="single"/>
          <w:lang w:eastAsia="zh-CN"/>
        </w:rPr>
        <w:t>本项目</w:t>
      </w:r>
      <w:r>
        <w:rPr>
          <w:rFonts w:hint="eastAsia" w:ascii="仿宋" w:hAnsi="仿宋" w:eastAsia="仿宋" w:cs="仿宋"/>
          <w:color w:val="auto"/>
          <w:sz w:val="24"/>
          <w:highlight w:val="none"/>
          <w:u w:val="single"/>
          <w:lang w:val="en-US" w:eastAsia="zh-CN"/>
        </w:rPr>
        <w:t>工程造价为549637元，</w:t>
      </w:r>
      <w:r>
        <w:rPr>
          <w:rFonts w:hint="eastAsia" w:ascii="仿宋" w:hAnsi="仿宋" w:eastAsia="仿宋" w:cs="仿宋"/>
          <w:color w:val="auto"/>
          <w:sz w:val="24"/>
          <w:szCs w:val="22"/>
          <w:highlight w:val="none"/>
          <w:u w:val="single"/>
        </w:rPr>
        <w:t>具体详见</w:t>
      </w:r>
      <w:r>
        <w:rPr>
          <w:rFonts w:hint="eastAsia" w:ascii="仿宋" w:hAnsi="仿宋" w:eastAsia="仿宋" w:cs="仿宋"/>
          <w:color w:val="auto"/>
          <w:sz w:val="24"/>
          <w:szCs w:val="22"/>
          <w:highlight w:val="none"/>
          <w:u w:val="single"/>
          <w:lang w:eastAsia="zh-CN"/>
        </w:rPr>
        <w:t>招标人提供的</w:t>
      </w:r>
      <w:r>
        <w:rPr>
          <w:rFonts w:hint="eastAsia" w:ascii="仿宋" w:hAnsi="仿宋" w:eastAsia="仿宋" w:cs="仿宋"/>
          <w:color w:val="auto"/>
          <w:sz w:val="24"/>
          <w:szCs w:val="22"/>
          <w:highlight w:val="none"/>
          <w:u w:val="single"/>
        </w:rPr>
        <w:t>工程量</w:t>
      </w:r>
      <w:r>
        <w:rPr>
          <w:rFonts w:hint="eastAsia" w:ascii="仿宋" w:hAnsi="仿宋" w:eastAsia="仿宋" w:cs="仿宋"/>
          <w:color w:val="auto"/>
          <w:sz w:val="24"/>
          <w:highlight w:val="none"/>
          <w:u w:val="single"/>
        </w:rPr>
        <w:t>清单及施工图纸</w:t>
      </w:r>
      <w:r>
        <w:rPr>
          <w:rFonts w:hint="eastAsia" w:ascii="仿宋" w:hAnsi="仿宋" w:eastAsia="仿宋" w:cs="仿宋"/>
          <w:color w:val="auto"/>
          <w:sz w:val="24"/>
          <w:highlight w:val="none"/>
        </w:rPr>
        <w:t>；</w:t>
      </w:r>
    </w:p>
    <w:p w14:paraId="5BC7574B">
      <w:pPr>
        <w:keepNext w:val="0"/>
        <w:keepLines w:val="0"/>
        <w:pageBreakBefore w:val="0"/>
        <w:widowControl/>
        <w:numPr>
          <w:ilvl w:val="1"/>
          <w:numId w:val="1"/>
        </w:numPr>
        <w:kinsoku/>
        <w:overflowPunct/>
        <w:topLinePunct w:val="0"/>
        <w:autoSpaceDE/>
        <w:autoSpaceDN/>
        <w:bidi w:val="0"/>
        <w:adjustRightInd/>
        <w:spacing w:line="500" w:lineRule="atLeast"/>
        <w:ind w:left="90" w:leftChars="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招标范围和内容：</w:t>
      </w:r>
    </w:p>
    <w:p w14:paraId="39914C44">
      <w:pPr>
        <w:keepNext w:val="0"/>
        <w:keepLines w:val="0"/>
        <w:pageBreakBefore w:val="0"/>
        <w:widowControl/>
        <w:kinsoku/>
        <w:overflowPunct/>
        <w:topLinePunct w:val="0"/>
        <w:autoSpaceDE/>
        <w:autoSpaceDN/>
        <w:bidi w:val="0"/>
        <w:adjustRightInd/>
        <w:spacing w:line="500" w:lineRule="atLeast"/>
        <w:ind w:left="10" w:firstLine="499" w:firstLineChars="208"/>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（1）工程类别：</w:t>
      </w:r>
      <w:r>
        <w:rPr>
          <w:rFonts w:hint="eastAsia" w:ascii="仿宋" w:hAnsi="仿宋" w:eastAsia="仿宋" w:cs="仿宋"/>
          <w:color w:val="auto"/>
          <w:sz w:val="24"/>
          <w:highlight w:val="none"/>
          <w:u w:val="single"/>
          <w:lang w:eastAsia="zh-CN"/>
        </w:rPr>
        <w:t>市政工程</w:t>
      </w:r>
      <w:r>
        <w:rPr>
          <w:rFonts w:hint="eastAsia" w:ascii="仿宋" w:hAnsi="仿宋" w:eastAsia="仿宋" w:cs="仿宋"/>
          <w:color w:val="auto"/>
          <w:sz w:val="24"/>
          <w:highlight w:val="none"/>
        </w:rPr>
        <w:t>；</w:t>
      </w:r>
    </w:p>
    <w:p w14:paraId="5451C045">
      <w:pPr>
        <w:keepNext w:val="0"/>
        <w:keepLines w:val="0"/>
        <w:pageBreakBefore w:val="0"/>
        <w:widowControl/>
        <w:kinsoku/>
        <w:overflowPunct/>
        <w:topLinePunct w:val="0"/>
        <w:autoSpaceDE/>
        <w:autoSpaceDN/>
        <w:bidi w:val="0"/>
        <w:adjustRightInd/>
        <w:spacing w:line="500" w:lineRule="atLeast"/>
        <w:ind w:left="10" w:firstLine="499" w:firstLineChars="208"/>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（2）招标类型：</w:t>
      </w:r>
      <w:r>
        <w:rPr>
          <w:rFonts w:hint="eastAsia" w:ascii="仿宋" w:hAnsi="仿宋" w:eastAsia="仿宋" w:cs="仿宋"/>
          <w:color w:val="auto"/>
          <w:sz w:val="24"/>
          <w:highlight w:val="none"/>
          <w:u w:val="single"/>
          <w:lang w:val="en-US" w:eastAsia="zh-CN"/>
        </w:rPr>
        <w:t xml:space="preserve"> 施工总</w:t>
      </w:r>
      <w:r>
        <w:rPr>
          <w:rFonts w:hint="eastAsia" w:ascii="仿宋" w:hAnsi="仿宋" w:eastAsia="仿宋" w:cs="仿宋"/>
          <w:color w:val="auto"/>
          <w:sz w:val="24"/>
          <w:highlight w:val="none"/>
          <w:u w:val="single"/>
        </w:rPr>
        <w:t xml:space="preserve">承包 </w:t>
      </w:r>
      <w:r>
        <w:rPr>
          <w:rFonts w:hint="eastAsia" w:ascii="仿宋" w:hAnsi="仿宋" w:eastAsia="仿宋" w:cs="仿宋"/>
          <w:color w:val="auto"/>
          <w:sz w:val="24"/>
          <w:highlight w:val="none"/>
        </w:rPr>
        <w:t>；</w:t>
      </w:r>
    </w:p>
    <w:p w14:paraId="4FB6F08D">
      <w:pPr>
        <w:keepNext w:val="0"/>
        <w:keepLines w:val="0"/>
        <w:pageBreakBefore w:val="0"/>
        <w:widowControl/>
        <w:kinsoku/>
        <w:overflowPunct/>
        <w:topLinePunct w:val="0"/>
        <w:autoSpaceDE/>
        <w:autoSpaceDN/>
        <w:bidi w:val="0"/>
        <w:adjustRightInd/>
        <w:spacing w:line="500" w:lineRule="atLeast"/>
        <w:ind w:left="10" w:firstLine="499" w:firstLineChars="208"/>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（3）招标范围和内容：</w:t>
      </w:r>
      <w:r>
        <w:rPr>
          <w:rFonts w:hint="eastAsia" w:ascii="仿宋" w:hAnsi="仿宋" w:eastAsia="仿宋" w:cs="仿宋"/>
          <w:color w:val="auto"/>
          <w:sz w:val="24"/>
          <w:highlight w:val="none"/>
          <w:u w:val="single"/>
          <w:lang w:val="en-US" w:eastAsia="zh-CN"/>
        </w:rPr>
        <w:t>工程造价为549637元，</w:t>
      </w:r>
      <w:r>
        <w:rPr>
          <w:rFonts w:hint="eastAsia" w:ascii="仿宋" w:hAnsi="仿宋" w:eastAsia="仿宋" w:cs="仿宋"/>
          <w:color w:val="auto"/>
          <w:sz w:val="24"/>
          <w:szCs w:val="22"/>
          <w:highlight w:val="none"/>
          <w:u w:val="single"/>
        </w:rPr>
        <w:t>具体详见</w:t>
      </w:r>
      <w:r>
        <w:rPr>
          <w:rFonts w:hint="eastAsia" w:ascii="仿宋" w:hAnsi="仿宋" w:eastAsia="仿宋" w:cs="仿宋"/>
          <w:color w:val="auto"/>
          <w:sz w:val="24"/>
          <w:szCs w:val="22"/>
          <w:highlight w:val="none"/>
          <w:u w:val="single"/>
          <w:lang w:eastAsia="zh-CN"/>
        </w:rPr>
        <w:t>招标人提供的</w:t>
      </w:r>
      <w:r>
        <w:rPr>
          <w:rFonts w:hint="eastAsia" w:ascii="仿宋" w:hAnsi="仿宋" w:eastAsia="仿宋" w:cs="仿宋"/>
          <w:color w:val="auto"/>
          <w:sz w:val="24"/>
          <w:szCs w:val="22"/>
          <w:highlight w:val="none"/>
          <w:u w:val="single"/>
        </w:rPr>
        <w:t>工程量</w:t>
      </w:r>
      <w:r>
        <w:rPr>
          <w:rFonts w:hint="eastAsia" w:ascii="仿宋" w:hAnsi="仿宋" w:eastAsia="仿宋" w:cs="仿宋"/>
          <w:color w:val="auto"/>
          <w:sz w:val="24"/>
          <w:highlight w:val="none"/>
          <w:u w:val="single"/>
        </w:rPr>
        <w:t>清单及施工图纸</w:t>
      </w:r>
      <w:r>
        <w:rPr>
          <w:rFonts w:hint="eastAsia" w:ascii="仿宋" w:hAnsi="仿宋" w:eastAsia="仿宋" w:cs="仿宋"/>
          <w:color w:val="auto"/>
          <w:sz w:val="24"/>
          <w:szCs w:val="22"/>
          <w:highlight w:val="none"/>
        </w:rPr>
        <w:t>；</w:t>
      </w:r>
      <w:r>
        <w:rPr>
          <w:rFonts w:hint="eastAsia" w:ascii="仿宋" w:hAnsi="仿宋" w:eastAsia="仿宋" w:cs="仿宋"/>
          <w:color w:val="auto"/>
          <w:sz w:val="24"/>
          <w:highlight w:val="none"/>
        </w:rPr>
        <w:t xml:space="preserve"> </w:t>
      </w:r>
    </w:p>
    <w:p w14:paraId="44B21ACD">
      <w:pPr>
        <w:keepNext w:val="0"/>
        <w:keepLines w:val="0"/>
        <w:pageBreakBefore w:val="0"/>
        <w:widowControl/>
        <w:kinsoku/>
        <w:wordWrap/>
        <w:overflowPunct/>
        <w:topLinePunct w:val="0"/>
        <w:autoSpaceDE/>
        <w:autoSpaceDN/>
        <w:bidi w:val="0"/>
        <w:adjustRightInd/>
        <w:spacing w:line="500" w:lineRule="atLeast"/>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其中，用于确定企业资质及等级的相关数据：</w:t>
      </w:r>
      <w:r>
        <w:rPr>
          <w:rFonts w:hint="eastAsia" w:ascii="仿宋" w:hAnsi="仿宋" w:eastAsia="仿宋" w:cs="仿宋"/>
          <w:color w:val="auto"/>
          <w:sz w:val="24"/>
          <w:highlight w:val="none"/>
          <w:u w:val="single"/>
          <w:lang w:val="en-US" w:eastAsia="zh-CN"/>
        </w:rPr>
        <w:t>工程总</w:t>
      </w:r>
      <w:r>
        <w:rPr>
          <w:rFonts w:hint="eastAsia" w:ascii="仿宋" w:hAnsi="仿宋" w:eastAsia="仿宋" w:cs="仿宋"/>
          <w:color w:val="auto"/>
          <w:sz w:val="24"/>
          <w:highlight w:val="none"/>
          <w:u w:val="single"/>
          <w:lang w:eastAsia="zh-CN"/>
        </w:rPr>
        <w:t>造价为</w:t>
      </w:r>
      <w:r>
        <w:rPr>
          <w:rFonts w:hint="eastAsia" w:ascii="仿宋" w:hAnsi="仿宋" w:eastAsia="仿宋" w:cs="仿宋"/>
          <w:color w:val="auto"/>
          <w:sz w:val="24"/>
          <w:highlight w:val="none"/>
          <w:u w:val="single"/>
          <w:lang w:val="en-US" w:eastAsia="zh-CN"/>
        </w:rPr>
        <w:t>549637元</w:t>
      </w:r>
      <w:r>
        <w:rPr>
          <w:rFonts w:hint="eastAsia" w:ascii="仿宋" w:hAnsi="仿宋" w:eastAsia="仿宋" w:cs="仿宋"/>
          <w:color w:val="auto"/>
          <w:sz w:val="24"/>
          <w:highlight w:val="none"/>
        </w:rPr>
        <w:t>；</w:t>
      </w:r>
    </w:p>
    <w:p w14:paraId="57406BBC">
      <w:pPr>
        <w:keepNext w:val="0"/>
        <w:keepLines w:val="0"/>
        <w:pageBreakBefore w:val="0"/>
        <w:widowControl/>
        <w:kinsoku/>
        <w:wordWrap/>
        <w:overflowPunct/>
        <w:topLinePunct w:val="0"/>
        <w:autoSpaceDE/>
        <w:autoSpaceDN/>
        <w:bidi w:val="0"/>
        <w:adjustRightInd/>
        <w:spacing w:line="500" w:lineRule="atLeast"/>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用于确定注册建造师等级的相关数据：</w:t>
      </w:r>
      <w:r>
        <w:rPr>
          <w:rFonts w:hint="eastAsia" w:ascii="仿宋" w:hAnsi="仿宋" w:eastAsia="仿宋" w:cs="仿宋"/>
          <w:color w:val="auto"/>
          <w:sz w:val="24"/>
          <w:highlight w:val="none"/>
          <w:u w:val="single"/>
          <w:lang w:val="en-US" w:eastAsia="zh-CN"/>
        </w:rPr>
        <w:t>工程总</w:t>
      </w:r>
      <w:r>
        <w:rPr>
          <w:rFonts w:hint="eastAsia" w:ascii="仿宋" w:hAnsi="仿宋" w:eastAsia="仿宋" w:cs="仿宋"/>
          <w:color w:val="auto"/>
          <w:sz w:val="24"/>
          <w:highlight w:val="none"/>
          <w:u w:val="single"/>
          <w:lang w:eastAsia="zh-CN"/>
        </w:rPr>
        <w:t>造价为</w:t>
      </w:r>
      <w:r>
        <w:rPr>
          <w:rFonts w:hint="eastAsia" w:ascii="仿宋" w:hAnsi="仿宋" w:eastAsia="仿宋" w:cs="仿宋"/>
          <w:color w:val="auto"/>
          <w:sz w:val="24"/>
          <w:highlight w:val="none"/>
          <w:u w:val="single"/>
          <w:lang w:val="en-US" w:eastAsia="zh-CN"/>
        </w:rPr>
        <w:t>549637元</w:t>
      </w:r>
      <w:r>
        <w:rPr>
          <w:rFonts w:hint="eastAsia" w:ascii="仿宋" w:hAnsi="仿宋" w:eastAsia="仿宋" w:cs="仿宋"/>
          <w:color w:val="auto"/>
          <w:sz w:val="24"/>
          <w:highlight w:val="none"/>
        </w:rPr>
        <w:t>；</w:t>
      </w:r>
    </w:p>
    <w:p w14:paraId="6C4CD295">
      <w:pPr>
        <w:keepNext w:val="0"/>
        <w:keepLines w:val="0"/>
        <w:pageBreakBefore w:val="0"/>
        <w:widowControl/>
        <w:kinsoku/>
        <w:wordWrap/>
        <w:overflowPunct/>
        <w:topLinePunct w:val="0"/>
        <w:autoSpaceDE/>
        <w:autoSpaceDN/>
        <w:bidi w:val="0"/>
        <w:adjustRightInd/>
        <w:spacing w:line="500" w:lineRule="atLeast"/>
        <w:ind w:firstLine="510"/>
        <w:textAlignment w:val="auto"/>
        <w:outlineLvl w:val="9"/>
        <w:rPr>
          <w:rFonts w:hint="eastAsia"/>
          <w:b w:val="0"/>
          <w:bCs w:val="0"/>
          <w:color w:val="auto"/>
          <w:highlight w:val="none"/>
        </w:rPr>
      </w:pPr>
      <w:r>
        <w:rPr>
          <w:rFonts w:hint="eastAsia" w:ascii="仿宋" w:hAnsi="仿宋" w:eastAsia="仿宋" w:cs="仿宋"/>
          <w:color w:val="auto"/>
          <w:sz w:val="24"/>
          <w:highlight w:val="none"/>
        </w:rPr>
        <w:t>用于确定类似工程业绩的相关</w:t>
      </w:r>
      <w:r>
        <w:rPr>
          <w:rFonts w:hint="eastAsia" w:ascii="仿宋" w:hAnsi="仿宋" w:eastAsia="仿宋" w:cs="仿宋"/>
          <w:b w:val="0"/>
          <w:bCs w:val="0"/>
          <w:color w:val="auto"/>
          <w:sz w:val="24"/>
          <w:highlight w:val="none"/>
        </w:rPr>
        <w:t>数据：</w:t>
      </w:r>
      <w:r>
        <w:rPr>
          <w:rFonts w:hint="eastAsia" w:ascii="仿宋" w:hAnsi="仿宋" w:eastAsia="仿宋" w:cs="仿宋"/>
          <w:b w:val="0"/>
          <w:bCs w:val="0"/>
          <w:color w:val="auto"/>
          <w:sz w:val="24"/>
          <w:highlight w:val="none"/>
          <w:u w:val="single"/>
        </w:rPr>
        <w:t xml:space="preserve">  </w:t>
      </w:r>
      <w:r>
        <w:rPr>
          <w:rFonts w:hint="eastAsia" w:ascii="仿宋" w:hAnsi="仿宋" w:eastAsia="仿宋" w:cs="仿宋"/>
          <w:b w:val="0"/>
          <w:bCs w:val="0"/>
          <w:color w:val="auto"/>
          <w:sz w:val="24"/>
          <w:highlight w:val="none"/>
          <w:u w:val="single"/>
          <w:lang w:val="en-US" w:eastAsia="zh-CN"/>
        </w:rPr>
        <w:t>/</w:t>
      </w:r>
      <w:r>
        <w:rPr>
          <w:rFonts w:hint="eastAsia" w:ascii="仿宋" w:hAnsi="仿宋" w:eastAsia="仿宋" w:cs="仿宋"/>
          <w:b w:val="0"/>
          <w:bCs w:val="0"/>
          <w:color w:val="auto"/>
          <w:sz w:val="24"/>
          <w:highlight w:val="none"/>
          <w:u w:val="single"/>
        </w:rPr>
        <w:t xml:space="preserve">  </w:t>
      </w:r>
      <w:r>
        <w:rPr>
          <w:rFonts w:hint="eastAsia" w:ascii="仿宋" w:hAnsi="仿宋" w:eastAsia="仿宋" w:cs="仿宋"/>
          <w:b w:val="0"/>
          <w:bCs w:val="0"/>
          <w:color w:val="auto"/>
          <w:sz w:val="24"/>
          <w:highlight w:val="none"/>
        </w:rPr>
        <w:t>；</w:t>
      </w:r>
    </w:p>
    <w:p w14:paraId="2A9F01F9">
      <w:pPr>
        <w:keepNext w:val="0"/>
        <w:keepLines w:val="0"/>
        <w:pageBreakBefore w:val="0"/>
        <w:widowControl/>
        <w:numPr>
          <w:ilvl w:val="1"/>
          <w:numId w:val="1"/>
        </w:numPr>
        <w:kinsoku/>
        <w:overflowPunct/>
        <w:topLinePunct w:val="0"/>
        <w:autoSpaceDE/>
        <w:autoSpaceDN/>
        <w:bidi w:val="0"/>
        <w:adjustRightInd/>
        <w:spacing w:line="500" w:lineRule="atLeast"/>
        <w:ind w:left="90" w:leftChars="0" w:firstLineChars="0"/>
        <w:jc w:val="left"/>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招标控制价（即最高投标限价，下同）：招标控制价</w:t>
      </w:r>
      <w:r>
        <w:rPr>
          <w:rFonts w:hint="eastAsia" w:ascii="仿宋" w:hAnsi="仿宋" w:eastAsia="仿宋" w:cs="仿宋"/>
          <w:b w:val="0"/>
          <w:bCs w:val="0"/>
          <w:color w:val="auto"/>
          <w:sz w:val="24"/>
          <w:highlight w:val="none"/>
          <w:lang w:eastAsia="zh-CN"/>
        </w:rPr>
        <w:t>为</w:t>
      </w:r>
      <w:r>
        <w:rPr>
          <w:rFonts w:hint="eastAsia" w:ascii="仿宋" w:hAnsi="仿宋" w:eastAsia="仿宋" w:cs="仿宋"/>
          <w:b w:val="0"/>
          <w:bCs w:val="0"/>
          <w:color w:val="auto"/>
          <w:sz w:val="24"/>
          <w:highlight w:val="none"/>
          <w:u w:val="single"/>
          <w:lang w:val="en-US" w:eastAsia="zh-CN"/>
        </w:rPr>
        <w:t xml:space="preserve"> </w:t>
      </w:r>
      <w:r>
        <w:rPr>
          <w:rFonts w:hint="eastAsia" w:ascii="仿宋" w:hAnsi="仿宋" w:eastAsia="仿宋" w:cs="仿宋"/>
          <w:color w:val="auto"/>
          <w:sz w:val="24"/>
          <w:highlight w:val="none"/>
          <w:u w:val="single"/>
          <w:lang w:val="en-US" w:eastAsia="zh-CN"/>
        </w:rPr>
        <w:t>549637</w:t>
      </w:r>
      <w:r>
        <w:rPr>
          <w:rFonts w:hint="eastAsia" w:ascii="仿宋" w:hAnsi="仿宋" w:eastAsia="仿宋" w:cs="仿宋"/>
          <w:b w:val="0"/>
          <w:bCs w:val="0"/>
          <w:color w:val="auto"/>
          <w:sz w:val="24"/>
          <w:highlight w:val="none"/>
          <w:u w:val="single"/>
          <w:lang w:val="en-US" w:eastAsia="zh-CN"/>
        </w:rPr>
        <w:t xml:space="preserve"> </w:t>
      </w:r>
      <w:r>
        <w:rPr>
          <w:rFonts w:hint="eastAsia" w:ascii="仿宋" w:hAnsi="仿宋" w:eastAsia="仿宋" w:cs="仿宋"/>
          <w:b w:val="0"/>
          <w:bCs w:val="0"/>
          <w:color w:val="auto"/>
          <w:sz w:val="24"/>
          <w:highlight w:val="none"/>
        </w:rPr>
        <w:t xml:space="preserve">元； </w:t>
      </w:r>
    </w:p>
    <w:p w14:paraId="605EB2ED">
      <w:pPr>
        <w:keepNext w:val="0"/>
        <w:keepLines w:val="0"/>
        <w:pageBreakBefore w:val="0"/>
        <w:widowControl/>
        <w:numPr>
          <w:ilvl w:val="1"/>
          <w:numId w:val="1"/>
        </w:numPr>
        <w:kinsoku/>
        <w:overflowPunct/>
        <w:topLinePunct w:val="0"/>
        <w:autoSpaceDE/>
        <w:autoSpaceDN/>
        <w:bidi w:val="0"/>
        <w:adjustRightInd/>
        <w:spacing w:line="500" w:lineRule="atLeast"/>
        <w:ind w:left="90" w:leftChars="0" w:firstLineChars="0"/>
        <w:jc w:val="left"/>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工期要求：</w:t>
      </w:r>
      <w:r>
        <w:rPr>
          <w:rFonts w:hint="eastAsia" w:ascii="仿宋" w:hAnsi="仿宋" w:eastAsia="仿宋" w:cs="仿宋"/>
          <w:color w:val="auto"/>
          <w:sz w:val="24"/>
          <w:szCs w:val="24"/>
          <w:highlight w:val="none"/>
        </w:rPr>
        <w:t>总工期为</w:t>
      </w:r>
      <w:r>
        <w:rPr>
          <w:rFonts w:hint="eastAsia" w:ascii="仿宋" w:hAnsi="仿宋" w:eastAsia="仿宋" w:cs="仿宋"/>
          <w:color w:val="auto"/>
          <w:sz w:val="24"/>
          <w:szCs w:val="24"/>
          <w:highlight w:val="none"/>
          <w:u w:val="single"/>
          <w:lang w:val="en-US" w:eastAsia="zh-CN"/>
        </w:rPr>
        <w:t xml:space="preserve"> 20 </w:t>
      </w:r>
      <w:r>
        <w:rPr>
          <w:rFonts w:hint="eastAsia" w:ascii="仿宋" w:hAnsi="仿宋" w:eastAsia="仿宋" w:cs="仿宋"/>
          <w:color w:val="auto"/>
          <w:sz w:val="24"/>
          <w:szCs w:val="24"/>
          <w:highlight w:val="none"/>
        </w:rPr>
        <w:t>日历天</w:t>
      </w:r>
      <w:r>
        <w:rPr>
          <w:rFonts w:hint="eastAsia" w:ascii="仿宋" w:hAnsi="仿宋" w:eastAsia="仿宋" w:cs="仿宋"/>
          <w:color w:val="auto"/>
          <w:sz w:val="24"/>
          <w:szCs w:val="24"/>
          <w:highlight w:val="none"/>
          <w:u w:val="none"/>
          <w:lang w:val="en-US" w:eastAsia="zh-CN"/>
        </w:rPr>
        <w:t xml:space="preserve">；定额工期 </w:t>
      </w:r>
      <w:r>
        <w:rPr>
          <w:rFonts w:hint="eastAsia" w:ascii="仿宋" w:hAnsi="仿宋" w:eastAsia="仿宋" w:cs="仿宋"/>
          <w:color w:val="auto"/>
          <w:sz w:val="24"/>
          <w:szCs w:val="24"/>
          <w:highlight w:val="none"/>
          <w:u w:val="single"/>
          <w:lang w:val="en-US" w:eastAsia="zh-CN"/>
        </w:rPr>
        <w:t xml:space="preserve"> / </w:t>
      </w:r>
      <w:r>
        <w:rPr>
          <w:rFonts w:hint="eastAsia" w:ascii="仿宋" w:hAnsi="仿宋" w:eastAsia="仿宋" w:cs="仿宋"/>
          <w:color w:val="auto"/>
          <w:sz w:val="24"/>
          <w:szCs w:val="24"/>
          <w:highlight w:val="none"/>
          <w:u w:val="none"/>
          <w:lang w:val="en-US" w:eastAsia="zh-CN"/>
        </w:rPr>
        <w:t>个日历天（适用于国家或我省对工期有规定的项目）；其中各关键节点的工期要求为（如果有）</w:t>
      </w:r>
      <w:r>
        <w:rPr>
          <w:rFonts w:hint="eastAsia" w:ascii="仿宋" w:hAnsi="仿宋" w:eastAsia="仿宋" w:cs="仿宋"/>
          <w:color w:val="auto"/>
          <w:sz w:val="24"/>
          <w:szCs w:val="24"/>
          <w:highlight w:val="none"/>
          <w:u w:val="single"/>
          <w:lang w:val="en-US" w:eastAsia="zh-CN"/>
        </w:rPr>
        <w:t xml:space="preserve"> 签订合同后3</w:t>
      </w:r>
      <w:r>
        <w:rPr>
          <w:rFonts w:hint="eastAsia" w:ascii="仿宋" w:hAnsi="仿宋" w:eastAsia="仿宋" w:cs="仿宋"/>
          <w:color w:val="auto"/>
          <w:sz w:val="24"/>
          <w:szCs w:val="24"/>
          <w:highlight w:val="none"/>
          <w:u w:val="single"/>
        </w:rPr>
        <w:t>日历天</w:t>
      </w:r>
      <w:r>
        <w:rPr>
          <w:rFonts w:hint="eastAsia" w:ascii="仿宋" w:hAnsi="仿宋" w:eastAsia="仿宋" w:cs="仿宋"/>
          <w:color w:val="auto"/>
          <w:sz w:val="24"/>
          <w:szCs w:val="24"/>
          <w:highlight w:val="none"/>
          <w:u w:val="single"/>
          <w:lang w:val="en-US" w:eastAsia="zh-CN"/>
        </w:rPr>
        <w:t>内必须进场施工，否则招标人有权解除合同并取消其中标资格</w:t>
      </w:r>
      <w:r>
        <w:rPr>
          <w:rFonts w:hint="eastAsia" w:ascii="仿宋" w:hAnsi="仿宋" w:eastAsia="仿宋" w:cs="仿宋"/>
          <w:color w:val="auto"/>
          <w:sz w:val="24"/>
          <w:szCs w:val="24"/>
          <w:highlight w:val="none"/>
          <w:u w:val="none"/>
          <w:lang w:val="en-US" w:eastAsia="zh-CN"/>
        </w:rPr>
        <w:t>；</w:t>
      </w:r>
    </w:p>
    <w:p w14:paraId="1DB7A105">
      <w:pPr>
        <w:keepNext w:val="0"/>
        <w:keepLines w:val="0"/>
        <w:pageBreakBefore w:val="0"/>
        <w:widowControl/>
        <w:numPr>
          <w:ilvl w:val="1"/>
          <w:numId w:val="1"/>
        </w:numPr>
        <w:kinsoku/>
        <w:overflowPunct/>
        <w:topLinePunct w:val="0"/>
        <w:autoSpaceDE/>
        <w:autoSpaceDN/>
        <w:bidi w:val="0"/>
        <w:adjustRightInd/>
        <w:spacing w:line="500" w:lineRule="atLeast"/>
        <w:ind w:left="90" w:leftChars="0" w:firstLineChars="0"/>
        <w:jc w:val="left"/>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标段划分（如果有）：</w:t>
      </w:r>
      <w:r>
        <w:rPr>
          <w:rFonts w:hint="eastAsia" w:ascii="仿宋" w:hAnsi="仿宋" w:eastAsia="仿宋" w:cs="仿宋"/>
          <w:b w:val="0"/>
          <w:bCs w:val="0"/>
          <w:color w:val="auto"/>
          <w:sz w:val="24"/>
          <w:highlight w:val="none"/>
          <w:u w:val="single"/>
        </w:rPr>
        <w:t xml:space="preserve">一个标段 </w:t>
      </w:r>
      <w:r>
        <w:rPr>
          <w:rFonts w:hint="eastAsia" w:ascii="仿宋" w:hAnsi="仿宋" w:eastAsia="仿宋" w:cs="仿宋"/>
          <w:b w:val="0"/>
          <w:bCs w:val="0"/>
          <w:color w:val="auto"/>
          <w:sz w:val="24"/>
          <w:highlight w:val="none"/>
        </w:rPr>
        <w:t>；</w:t>
      </w:r>
    </w:p>
    <w:p w14:paraId="5754912D">
      <w:pPr>
        <w:keepNext w:val="0"/>
        <w:keepLines w:val="0"/>
        <w:pageBreakBefore w:val="0"/>
        <w:widowControl/>
        <w:numPr>
          <w:ilvl w:val="1"/>
          <w:numId w:val="1"/>
        </w:numPr>
        <w:kinsoku/>
        <w:overflowPunct/>
        <w:topLinePunct w:val="0"/>
        <w:autoSpaceDE/>
        <w:autoSpaceDN/>
        <w:bidi w:val="0"/>
        <w:adjustRightInd/>
        <w:spacing w:line="500" w:lineRule="atLeast"/>
        <w:ind w:left="90" w:leftChars="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质量要求：</w:t>
      </w:r>
      <w:r>
        <w:rPr>
          <w:rFonts w:hint="eastAsia" w:ascii="仿宋" w:hAnsi="仿宋" w:eastAsia="仿宋" w:cs="仿宋"/>
          <w:color w:val="auto"/>
          <w:sz w:val="24"/>
          <w:szCs w:val="24"/>
          <w:highlight w:val="none"/>
          <w:u w:val="single"/>
        </w:rPr>
        <w:t>符合《工程施工质量验收规范》并达到合格标准</w:t>
      </w:r>
      <w:r>
        <w:rPr>
          <w:rFonts w:hint="eastAsia" w:ascii="仿宋" w:hAnsi="仿宋" w:eastAsia="仿宋" w:cs="仿宋"/>
          <w:color w:val="auto"/>
          <w:sz w:val="24"/>
          <w:szCs w:val="24"/>
          <w:highlight w:val="none"/>
        </w:rPr>
        <w:t>。</w:t>
      </w:r>
    </w:p>
    <w:p w14:paraId="70DE6879">
      <w:pPr>
        <w:keepNext w:val="0"/>
        <w:keepLines w:val="0"/>
        <w:pageBreakBefore w:val="0"/>
        <w:widowControl/>
        <w:numPr>
          <w:ilvl w:val="0"/>
          <w:numId w:val="1"/>
        </w:numPr>
        <w:tabs>
          <w:tab w:val="left" w:pos="900"/>
          <w:tab w:val="left" w:pos="1100"/>
        </w:tabs>
        <w:kinsoku/>
        <w:overflowPunct/>
        <w:topLinePunct w:val="0"/>
        <w:autoSpaceDE/>
        <w:autoSpaceDN/>
        <w:bidi w:val="0"/>
        <w:adjustRightInd/>
        <w:spacing w:line="500" w:lineRule="atLeas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投标人资格要求及审查办法</w:t>
      </w:r>
    </w:p>
    <w:p w14:paraId="1DB7D91A">
      <w:pPr>
        <w:keepNext w:val="0"/>
        <w:keepLines w:val="0"/>
        <w:pageBreakBefore w:val="0"/>
        <w:numPr>
          <w:ilvl w:val="0"/>
          <w:numId w:val="0"/>
        </w:numPr>
        <w:kinsoku/>
        <w:overflowPunct/>
        <w:topLinePunct w:val="0"/>
        <w:autoSpaceDE/>
        <w:autoSpaceDN/>
        <w:bidi w:val="0"/>
        <w:spacing w:line="500" w:lineRule="atLeas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highlight w:val="none"/>
          <w:lang w:val="en-US" w:eastAsia="zh-CN"/>
        </w:rPr>
        <w:t>3.</w:t>
      </w:r>
      <w:r>
        <w:rPr>
          <w:rFonts w:hint="eastAsia" w:ascii="仿宋" w:hAnsi="仿宋" w:eastAsia="仿宋" w:cs="仿宋"/>
          <w:color w:val="auto"/>
          <w:kern w:val="2"/>
          <w:sz w:val="24"/>
          <w:highlight w:val="none"/>
        </w:rPr>
        <w:t>1.本招标项目要求投标人须具备有效的</w:t>
      </w:r>
      <w:r>
        <w:rPr>
          <w:rFonts w:hint="eastAsia" w:ascii="仿宋" w:hAnsi="仿宋" w:eastAsia="仿宋" w:cs="仿宋"/>
          <w:color w:val="auto"/>
          <w:sz w:val="24"/>
          <w:highlight w:val="none"/>
        </w:rPr>
        <w:t>不低于</w:t>
      </w:r>
      <w:r>
        <w:rPr>
          <w:rFonts w:hint="eastAsia" w:ascii="仿宋" w:hAnsi="仿宋" w:eastAsia="仿宋" w:cs="仿宋"/>
          <w:color w:val="auto"/>
          <w:sz w:val="24"/>
          <w:highlight w:val="none"/>
          <w:u w:val="single"/>
        </w:rPr>
        <w:t xml:space="preserve"> </w:t>
      </w:r>
      <w:r>
        <w:rPr>
          <w:rFonts w:hint="eastAsia" w:ascii="仿宋" w:hAnsi="仿宋" w:eastAsia="仿宋" w:cs="仿宋"/>
          <w:b/>
          <w:bCs/>
          <w:color w:val="auto"/>
          <w:sz w:val="24"/>
          <w:highlight w:val="none"/>
          <w:u w:val="single"/>
          <w:lang w:eastAsia="zh-CN"/>
        </w:rPr>
        <w:t>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级</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b/>
          <w:bCs/>
          <w:color w:val="auto"/>
          <w:sz w:val="24"/>
          <w:highlight w:val="none"/>
          <w:u w:val="single"/>
          <w:lang w:val="en-US" w:eastAsia="zh-CN"/>
        </w:rPr>
        <w:t>市政公用工程施工总承包</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资质和《施工企业安全生产许可证》</w:t>
      </w:r>
      <w:r>
        <w:rPr>
          <w:rFonts w:hint="eastAsia" w:ascii="仿宋" w:hAnsi="仿宋" w:eastAsia="仿宋" w:cs="仿宋"/>
          <w:color w:val="auto"/>
          <w:sz w:val="24"/>
          <w:szCs w:val="24"/>
          <w:highlight w:val="none"/>
          <w:lang w:eastAsia="zh-CN"/>
        </w:rPr>
        <w:t>；</w:t>
      </w:r>
    </w:p>
    <w:p w14:paraId="3E60A8F1">
      <w:pPr>
        <w:keepNext w:val="0"/>
        <w:keepLines w:val="0"/>
        <w:pageBreakBefore w:val="0"/>
        <w:numPr>
          <w:ilvl w:val="0"/>
          <w:numId w:val="0"/>
        </w:numPr>
        <w:kinsoku/>
        <w:overflowPunct/>
        <w:topLinePunct w:val="0"/>
        <w:autoSpaceDE/>
        <w:autoSpaceDN/>
        <w:bidi w:val="0"/>
        <w:spacing w:line="500" w:lineRule="atLeast"/>
        <w:ind w:firstLine="480" w:firstLineChars="200"/>
        <w:rPr>
          <w:rFonts w:hint="eastAsia" w:ascii="仿宋" w:hAnsi="仿宋" w:eastAsia="仿宋" w:cs="仿宋"/>
          <w:color w:val="auto"/>
          <w:kern w:val="2"/>
          <w:sz w:val="24"/>
          <w:highlight w:val="none"/>
          <w:lang w:val="en-US" w:eastAsia="zh-CN"/>
        </w:rPr>
      </w:pPr>
      <w:r>
        <w:rPr>
          <w:rFonts w:hint="eastAsia" w:ascii="仿宋" w:hAnsi="仿宋" w:eastAsia="仿宋" w:cs="仿宋"/>
          <w:color w:val="auto"/>
          <w:kern w:val="2"/>
          <w:sz w:val="24"/>
          <w:highlight w:val="none"/>
          <w:lang w:val="en-US" w:eastAsia="zh-CN"/>
        </w:rPr>
        <w:t>注: (1)省外建筑企业参加投标，应按《关于推动全省建筑市场统一开放的通知》(闽建筑[2015]35号文) 、《关于做好建筑施工企业信息与工程招投标活动衔接的通知》（闽建办筑[2016]8号文），办理入闽登记手续。</w:t>
      </w:r>
    </w:p>
    <w:p w14:paraId="43B154E7">
      <w:pPr>
        <w:pStyle w:val="7"/>
        <w:numPr>
          <w:ilvl w:val="0"/>
          <w:numId w:val="0"/>
        </w:numPr>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根据《住房和城乡建设部办公厅关于建设工程企业资质有关事宜的通知》（建办市函〔2022〕361号）规定，建设部核发的工程勘察、工程设计、建筑业企业、工程监理企业资质，资质证书有效期于2023年12月30日前期满的，统一延期至2023年12月31日。上述资质有效期将在全国建筑市场监管公共服务平台自动延期，企业无需换领资质证书，原资质证书仍可用于工程招标投标等活动。</w:t>
      </w:r>
    </w:p>
    <w:p w14:paraId="50711C12">
      <w:pPr>
        <w:pStyle w:val="7"/>
        <w:numPr>
          <w:ilvl w:val="0"/>
          <w:numId w:val="0"/>
        </w:numPr>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根据《福建省住房和城乡建设厅关于建设工程企业资质证书有效期延续和施工总承包及专业承包二级资质审批有关事宜的通知》（闽建许〔2022〕3号）规定，我省各级资质审批部门审批的工程勘察、工程设计、建筑业企业、工程监理企业资质，资质证书有效期于2023年12月30日前期满的，统一延期至2023年12月31日。企业无需换领资质证书，原资质证书仍可用于工程招标投标等活动。上述四类资质证书统一延期后的有效期，可以在住建部全国建筑市场监管公共服务平台和省厅官网（http://zjt.fujian.gov.cn/）“首页-福建省建设行业信息公开平台-企业信息”查询。按照“谁审批谁负责”原则，各级资质审批部门要及时做好所在地企业资质证书信息与省厅官网“福建省建设行业信息公开平台”的对接和更新工作。</w:t>
      </w:r>
    </w:p>
    <w:p w14:paraId="3920E50F">
      <w:pPr>
        <w:keepNext w:val="0"/>
        <w:keepLines w:val="0"/>
        <w:pageBreakBefore w:val="0"/>
        <w:numPr>
          <w:ilvl w:val="0"/>
          <w:numId w:val="0"/>
        </w:numPr>
        <w:kinsoku/>
        <w:overflowPunct/>
        <w:topLinePunct w:val="0"/>
        <w:autoSpaceDE/>
        <w:autoSpaceDN/>
        <w:bidi w:val="0"/>
        <w:spacing w:line="500" w:lineRule="atLeast"/>
        <w:ind w:firstLine="480" w:firstLineChars="200"/>
        <w:rPr>
          <w:rFonts w:hint="eastAsia" w:ascii="仿宋" w:hAnsi="仿宋" w:eastAsia="仿宋" w:cs="仿宋"/>
          <w:color w:val="auto"/>
          <w:kern w:val="2"/>
          <w:sz w:val="24"/>
          <w:highlight w:val="none"/>
          <w:lang w:val="en-US" w:eastAsia="zh-CN"/>
        </w:rPr>
      </w:pPr>
      <w:r>
        <w:rPr>
          <w:rFonts w:hint="eastAsia" w:ascii="仿宋" w:hAnsi="仿宋" w:eastAsia="仿宋" w:cs="仿宋"/>
          <w:color w:val="auto"/>
          <w:kern w:val="2"/>
          <w:sz w:val="24"/>
          <w:highlight w:val="none"/>
          <w:lang w:val="en-US" w:eastAsia="zh-CN"/>
        </w:rPr>
        <w:t>3.2.投标人拟担任本招标项目的项目负责人（即项目经理，下同）</w:t>
      </w:r>
      <w:r>
        <w:rPr>
          <w:rFonts w:hint="eastAsia" w:ascii="仿宋" w:hAnsi="仿宋" w:eastAsia="仿宋" w:cs="仿宋"/>
          <w:color w:val="auto"/>
          <w:sz w:val="24"/>
          <w:szCs w:val="24"/>
          <w:highlight w:val="none"/>
          <w:lang w:eastAsia="zh-CN"/>
        </w:rPr>
        <w:t>须具备有效的</w:t>
      </w:r>
      <w:r>
        <w:rPr>
          <w:rFonts w:hint="eastAsia" w:ascii="仿宋" w:hAnsi="仿宋" w:eastAsia="仿宋" w:cs="仿宋"/>
          <w:color w:val="auto"/>
          <w:sz w:val="24"/>
          <w:highlight w:val="none"/>
        </w:rPr>
        <w:t>不低于</w:t>
      </w:r>
      <w:r>
        <w:rPr>
          <w:rFonts w:hint="eastAsia" w:ascii="仿宋" w:hAnsi="仿宋" w:eastAsia="仿宋" w:cs="仿宋"/>
          <w:color w:val="auto"/>
          <w:sz w:val="24"/>
          <w:highlight w:val="none"/>
          <w:u w:val="single"/>
        </w:rPr>
        <w:t xml:space="preserve"> </w:t>
      </w:r>
      <w:r>
        <w:rPr>
          <w:rFonts w:hint="eastAsia" w:ascii="仿宋" w:hAnsi="仿宋" w:eastAsia="仿宋" w:cs="仿宋"/>
          <w:b/>
          <w:bCs/>
          <w:color w:val="auto"/>
          <w:sz w:val="24"/>
          <w:highlight w:val="none"/>
          <w:u w:val="single"/>
        </w:rPr>
        <w:t>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级</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b/>
          <w:bCs/>
          <w:color w:val="auto"/>
          <w:sz w:val="24"/>
          <w:highlight w:val="none"/>
          <w:u w:val="single"/>
          <w:lang w:val="en-US" w:eastAsia="zh-CN"/>
        </w:rPr>
        <w:t>市政公用</w:t>
      </w:r>
      <w:r>
        <w:rPr>
          <w:rFonts w:hint="eastAsia" w:ascii="仿宋" w:hAnsi="仿宋" w:eastAsia="仿宋" w:cs="仿宋"/>
          <w:b/>
          <w:bCs/>
          <w:color w:val="auto"/>
          <w:sz w:val="24"/>
          <w:highlight w:val="none"/>
          <w:u w:val="single"/>
        </w:rPr>
        <w:t>工程</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专业注册建造师执业资格</w:t>
      </w:r>
      <w:r>
        <w:rPr>
          <w:rFonts w:hint="eastAsia" w:ascii="仿宋" w:hAnsi="仿宋" w:eastAsia="仿宋" w:cs="仿宋"/>
          <w:color w:val="auto"/>
          <w:sz w:val="24"/>
          <w:szCs w:val="24"/>
          <w:highlight w:val="none"/>
          <w:u w:val="none"/>
        </w:rPr>
        <w:t>，并具备有效的安全生产考核合格证书（B证）</w:t>
      </w:r>
      <w:r>
        <w:rPr>
          <w:rFonts w:hint="eastAsia" w:ascii="仿宋" w:hAnsi="仿宋" w:eastAsia="仿宋" w:cs="仿宋"/>
          <w:color w:val="auto"/>
          <w:kern w:val="2"/>
          <w:sz w:val="24"/>
          <w:highlight w:val="none"/>
        </w:rPr>
        <w:t>；</w:t>
      </w:r>
    </w:p>
    <w:p w14:paraId="1F20CB4D">
      <w:pPr>
        <w:keepNext w:val="0"/>
        <w:keepLines w:val="0"/>
        <w:pageBreakBefore w:val="0"/>
        <w:numPr>
          <w:ilvl w:val="0"/>
          <w:numId w:val="0"/>
        </w:numPr>
        <w:kinsoku/>
        <w:overflowPunct/>
        <w:topLinePunct w:val="0"/>
        <w:autoSpaceDE/>
        <w:autoSpaceDN/>
        <w:bidi w:val="0"/>
        <w:spacing w:line="500" w:lineRule="atLeast"/>
        <w:ind w:firstLine="480" w:firstLineChars="200"/>
        <w:rPr>
          <w:rFonts w:hint="eastAsia" w:ascii="仿宋" w:hAnsi="仿宋" w:eastAsia="仿宋" w:cs="仿宋"/>
          <w:color w:val="auto"/>
          <w:kern w:val="2"/>
          <w:sz w:val="24"/>
          <w:highlight w:val="none"/>
          <w:lang w:val="en-US" w:eastAsia="zh-CN"/>
        </w:rPr>
      </w:pPr>
      <w:r>
        <w:rPr>
          <w:rFonts w:hint="eastAsia" w:ascii="仿宋" w:hAnsi="仿宋" w:eastAsia="仿宋" w:cs="仿宋"/>
          <w:color w:val="auto"/>
          <w:kern w:val="2"/>
          <w:sz w:val="24"/>
          <w:highlight w:val="none"/>
          <w:lang w:val="en-US" w:eastAsia="zh-CN"/>
        </w:rPr>
        <w:t>注：根据《住房和城乡建设部办公厅关于取消一级建造师临时执业证书的通知》（建办市[2019]50号）、《福建省住房和城乡建设厅关于取消二级建造师临时执业证书的通知》（闽建筑[2019]22号）规定，取消一级、二级建造师临时执业证书。</w:t>
      </w:r>
    </w:p>
    <w:p w14:paraId="15AEC671">
      <w:pPr>
        <w:keepNext w:val="0"/>
        <w:keepLines w:val="0"/>
        <w:pageBreakBefore w:val="0"/>
        <w:numPr>
          <w:ilvl w:val="0"/>
          <w:numId w:val="0"/>
        </w:numPr>
        <w:kinsoku/>
        <w:overflowPunct/>
        <w:topLinePunct w:val="0"/>
        <w:autoSpaceDE/>
        <w:autoSpaceDN/>
        <w:bidi w:val="0"/>
        <w:spacing w:line="500" w:lineRule="atLeast"/>
        <w:ind w:firstLine="480" w:firstLineChars="200"/>
        <w:rPr>
          <w:rFonts w:hint="eastAsia" w:ascii="仿宋" w:hAnsi="仿宋" w:eastAsia="仿宋" w:cs="仿宋"/>
          <w:color w:val="auto"/>
          <w:kern w:val="2"/>
          <w:sz w:val="24"/>
          <w:highlight w:val="none"/>
          <w:lang w:val="en-US" w:eastAsia="zh-CN"/>
        </w:rPr>
      </w:pPr>
      <w:r>
        <w:rPr>
          <w:rFonts w:hint="eastAsia" w:ascii="仿宋" w:hAnsi="仿宋" w:eastAsia="仿宋" w:cs="仿宋"/>
          <w:color w:val="auto"/>
          <w:kern w:val="2"/>
          <w:sz w:val="24"/>
          <w:highlight w:val="none"/>
          <w:lang w:val="en-US" w:eastAsia="zh-CN"/>
        </w:rPr>
        <w:t>3.3本招标项目</w:t>
      </w:r>
      <w:r>
        <w:rPr>
          <w:rFonts w:hint="eastAsia" w:ascii="仿宋" w:hAnsi="仿宋" w:eastAsia="仿宋" w:cs="仿宋"/>
          <w:color w:val="auto"/>
          <w:kern w:val="2"/>
          <w:sz w:val="24"/>
          <w:highlight w:val="none"/>
          <w:u w:val="single"/>
          <w:lang w:val="en-US" w:eastAsia="zh-CN"/>
        </w:rPr>
        <w:t xml:space="preserve"> 不接受 </w:t>
      </w:r>
      <w:r>
        <w:rPr>
          <w:rFonts w:hint="eastAsia" w:ascii="仿宋" w:hAnsi="仿宋" w:eastAsia="仿宋" w:cs="仿宋"/>
          <w:color w:val="auto"/>
          <w:kern w:val="2"/>
          <w:sz w:val="24"/>
          <w:highlight w:val="none"/>
          <w:lang w:val="en-US" w:eastAsia="zh-CN"/>
        </w:rPr>
        <w:t>联合体投标，联合体成员不超过两个，自愿组成联合体的应由</w:t>
      </w:r>
      <w:r>
        <w:rPr>
          <w:rFonts w:hint="eastAsia" w:ascii="仿宋" w:hAnsi="仿宋" w:eastAsia="仿宋" w:cs="仿宋"/>
          <w:color w:val="auto"/>
          <w:kern w:val="2"/>
          <w:sz w:val="24"/>
          <w:highlight w:val="none"/>
          <w:u w:val="single"/>
          <w:lang w:val="en-US" w:eastAsia="zh-CN"/>
        </w:rPr>
        <w:t xml:space="preserve"> / </w:t>
      </w:r>
      <w:r>
        <w:rPr>
          <w:rFonts w:hint="eastAsia" w:ascii="仿宋" w:hAnsi="仿宋" w:eastAsia="仿宋" w:cs="仿宋"/>
          <w:color w:val="auto"/>
          <w:kern w:val="2"/>
          <w:sz w:val="24"/>
          <w:highlight w:val="none"/>
          <w:lang w:val="en-US" w:eastAsia="zh-CN"/>
        </w:rPr>
        <w:t>为牵头人，且各方应具备其所承担招标项目承包内容的相应资质条件；承担相同承包内容的专业单位组成联合体的，按照资质等级较低的单位确定资质等级。</w:t>
      </w:r>
    </w:p>
    <w:p w14:paraId="7604AD47">
      <w:pPr>
        <w:keepNext w:val="0"/>
        <w:keepLines w:val="0"/>
        <w:pageBreakBefore w:val="0"/>
        <w:numPr>
          <w:ilvl w:val="0"/>
          <w:numId w:val="0"/>
        </w:numPr>
        <w:kinsoku/>
        <w:overflowPunct/>
        <w:topLinePunct w:val="0"/>
        <w:autoSpaceDE/>
        <w:autoSpaceDN/>
        <w:bidi w:val="0"/>
        <w:spacing w:line="500" w:lineRule="atLeas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kern w:val="2"/>
          <w:sz w:val="24"/>
          <w:highlight w:val="none"/>
          <w:lang w:val="en-US" w:eastAsia="zh-CN"/>
        </w:rPr>
        <w:t>3.4</w:t>
      </w:r>
      <w:r>
        <w:rPr>
          <w:rFonts w:hint="eastAsia" w:ascii="仿宋" w:hAnsi="仿宋" w:eastAsia="仿宋" w:cs="仿宋"/>
          <w:color w:val="auto"/>
          <w:sz w:val="24"/>
          <w:highlight w:val="none"/>
        </w:rPr>
        <w:t>本招标项目</w:t>
      </w:r>
      <w:r>
        <w:rPr>
          <w:rFonts w:hint="eastAsia" w:ascii="仿宋" w:hAnsi="仿宋" w:eastAsia="仿宋" w:cs="仿宋"/>
          <w:color w:val="auto"/>
          <w:sz w:val="24"/>
          <w:highlight w:val="none"/>
          <w:u w:val="single"/>
        </w:rPr>
        <w:t xml:space="preserve"> 不应用 </w:t>
      </w:r>
      <w:r>
        <w:rPr>
          <w:rFonts w:hint="eastAsia" w:ascii="仿宋" w:hAnsi="仿宋" w:eastAsia="仿宋" w:cs="仿宋"/>
          <w:color w:val="auto"/>
          <w:sz w:val="24"/>
          <w:highlight w:val="none"/>
        </w:rPr>
        <w:t>福建省建筑施工企业信用综合评价分值</w:t>
      </w:r>
      <w:r>
        <w:rPr>
          <w:rFonts w:hint="eastAsia" w:ascii="仿宋" w:hAnsi="仿宋" w:eastAsia="仿宋" w:cs="仿宋"/>
          <w:color w:val="auto"/>
          <w:sz w:val="24"/>
          <w:highlight w:val="none"/>
          <w:lang w:eastAsia="zh-CN"/>
        </w:rPr>
        <w:t>。</w:t>
      </w:r>
    </w:p>
    <w:p w14:paraId="741073C7">
      <w:pPr>
        <w:keepNext w:val="0"/>
        <w:keepLines w:val="0"/>
        <w:pageBreakBefore w:val="0"/>
        <w:widowControl/>
        <w:numPr>
          <w:ilvl w:val="0"/>
          <w:numId w:val="0"/>
        </w:numPr>
        <w:tabs>
          <w:tab w:val="left" w:pos="900"/>
          <w:tab w:val="left" w:pos="1100"/>
        </w:tabs>
        <w:kinsoku/>
        <w:wordWrap/>
        <w:overflowPunct/>
        <w:topLinePunct w:val="0"/>
        <w:autoSpaceDE/>
        <w:autoSpaceDN/>
        <w:bidi w:val="0"/>
        <w:adjustRightInd/>
        <w:spacing w:line="500" w:lineRule="atLeast"/>
        <w:ind w:firstLine="480" w:firstLineChars="200"/>
        <w:jc w:val="left"/>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3.5投标人“类似工程业绩”要求：</w:t>
      </w:r>
      <w:r>
        <w:rPr>
          <w:rFonts w:hint="eastAsia" w:ascii="仿宋" w:hAnsi="仿宋" w:eastAsia="仿宋" w:cs="仿宋"/>
          <w:b w:val="0"/>
          <w:bCs w:val="0"/>
          <w:color w:val="auto"/>
          <w:sz w:val="24"/>
          <w:highlight w:val="none"/>
          <w:u w:val="single"/>
          <w:lang w:val="en-US" w:eastAsia="zh-CN"/>
        </w:rPr>
        <w:t>不要求</w:t>
      </w:r>
      <w:r>
        <w:rPr>
          <w:rFonts w:hint="eastAsia" w:ascii="仿宋" w:hAnsi="仿宋" w:eastAsia="仿宋" w:cs="仿宋"/>
          <w:color w:val="auto"/>
          <w:sz w:val="24"/>
          <w:highlight w:val="none"/>
          <w:u w:val="none"/>
          <w:lang w:eastAsia="zh-CN"/>
        </w:rPr>
        <w:t>。</w:t>
      </w:r>
    </w:p>
    <w:p w14:paraId="3B525F77">
      <w:pPr>
        <w:keepNext w:val="0"/>
        <w:keepLines w:val="0"/>
        <w:pageBreakBefore w:val="0"/>
        <w:widowControl/>
        <w:numPr>
          <w:ilvl w:val="0"/>
          <w:numId w:val="0"/>
        </w:numPr>
        <w:tabs>
          <w:tab w:val="left" w:pos="900"/>
          <w:tab w:val="left" w:pos="1100"/>
        </w:tabs>
        <w:kinsoku/>
        <w:overflowPunct/>
        <w:topLinePunct w:val="0"/>
        <w:autoSpaceDE/>
        <w:autoSpaceDN/>
        <w:bidi w:val="0"/>
        <w:adjustRightInd/>
        <w:spacing w:line="500" w:lineRule="atLeas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3.6</w:t>
      </w:r>
      <w:r>
        <w:rPr>
          <w:rFonts w:hint="eastAsia" w:ascii="仿宋" w:hAnsi="仿宋" w:eastAsia="仿宋" w:cs="仿宋"/>
          <w:color w:val="auto"/>
          <w:sz w:val="24"/>
          <w:highlight w:val="none"/>
        </w:rPr>
        <w:t>各投标人均可就本招标项目上述标段中的</w:t>
      </w:r>
      <w:r>
        <w:rPr>
          <w:rFonts w:hint="eastAsia" w:ascii="仿宋" w:hAnsi="仿宋" w:eastAsia="仿宋" w:cs="仿宋"/>
          <w:color w:val="auto"/>
          <w:sz w:val="24"/>
          <w:highlight w:val="none"/>
          <w:u w:val="single"/>
        </w:rPr>
        <w:t xml:space="preserve"> 一 </w:t>
      </w:r>
      <w:r>
        <w:rPr>
          <w:rFonts w:hint="eastAsia" w:ascii="仿宋" w:hAnsi="仿宋" w:eastAsia="仿宋" w:cs="仿宋"/>
          <w:color w:val="auto"/>
          <w:sz w:val="24"/>
          <w:highlight w:val="none"/>
        </w:rPr>
        <w:t>个标段投标，但最多允许中标</w:t>
      </w:r>
      <w:r>
        <w:rPr>
          <w:rFonts w:hint="eastAsia" w:ascii="仿宋" w:hAnsi="仿宋" w:eastAsia="仿宋" w:cs="仿宋"/>
          <w:color w:val="auto"/>
          <w:sz w:val="24"/>
          <w:highlight w:val="none"/>
          <w:u w:val="single"/>
        </w:rPr>
        <w:t xml:space="preserve"> 一</w:t>
      </w:r>
      <w:r>
        <w:rPr>
          <w:rFonts w:hint="eastAsia" w:ascii="仿宋" w:hAnsi="仿宋" w:eastAsia="仿宋" w:cs="仿宋"/>
          <w:color w:val="auto"/>
          <w:sz w:val="24"/>
          <w:highlight w:val="none"/>
        </w:rPr>
        <w:t>个标段。</w:t>
      </w:r>
    </w:p>
    <w:p w14:paraId="025E3E33">
      <w:pPr>
        <w:keepNext w:val="0"/>
        <w:keepLines w:val="0"/>
        <w:pageBreakBefore w:val="0"/>
        <w:widowControl/>
        <w:numPr>
          <w:ilvl w:val="0"/>
          <w:numId w:val="0"/>
        </w:numPr>
        <w:tabs>
          <w:tab w:val="left" w:pos="900"/>
          <w:tab w:val="left" w:pos="1100"/>
        </w:tabs>
        <w:kinsoku/>
        <w:overflowPunct/>
        <w:topLinePunct w:val="0"/>
        <w:autoSpaceDE/>
        <w:autoSpaceDN/>
        <w:bidi w:val="0"/>
        <w:adjustRightInd/>
        <w:spacing w:line="500" w:lineRule="atLeas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3.7</w:t>
      </w:r>
      <w:r>
        <w:rPr>
          <w:rFonts w:hint="eastAsia" w:ascii="仿宋" w:hAnsi="仿宋" w:eastAsia="仿宋" w:cs="仿宋"/>
          <w:color w:val="auto"/>
          <w:sz w:val="24"/>
          <w:highlight w:val="none"/>
        </w:rPr>
        <w:t>其他资格要求：</w:t>
      </w:r>
      <w:r>
        <w:rPr>
          <w:rFonts w:hint="eastAsia" w:ascii="仿宋" w:hAnsi="仿宋" w:eastAsia="仿宋" w:cs="仿宋"/>
          <w:b/>
          <w:bCs/>
          <w:color w:val="auto"/>
          <w:sz w:val="24"/>
          <w:szCs w:val="24"/>
          <w:highlight w:val="none"/>
          <w:u w:val="double"/>
        </w:rPr>
        <w:t>投标人因不再符合相应建筑业企业资质标准要求条件被资质许可机关责令限期改正的，投标人在整改期间不得以责令限期改正有关的资质参与投标，否则按否决投标处理</w:t>
      </w:r>
      <w:r>
        <w:rPr>
          <w:rFonts w:hint="eastAsia" w:ascii="仿宋" w:hAnsi="仿宋" w:eastAsia="仿宋" w:cs="仿宋"/>
          <w:color w:val="auto"/>
          <w:sz w:val="24"/>
          <w:highlight w:val="none"/>
        </w:rPr>
        <w:t>。</w:t>
      </w:r>
    </w:p>
    <w:p w14:paraId="74AA4E99">
      <w:pPr>
        <w:keepNext w:val="0"/>
        <w:keepLines w:val="0"/>
        <w:pageBreakBefore w:val="0"/>
        <w:widowControl/>
        <w:numPr>
          <w:ilvl w:val="0"/>
          <w:numId w:val="0"/>
        </w:numPr>
        <w:tabs>
          <w:tab w:val="left" w:pos="900"/>
          <w:tab w:val="left" w:pos="1100"/>
        </w:tabs>
        <w:kinsoku/>
        <w:overflowPunct/>
        <w:topLinePunct w:val="0"/>
        <w:autoSpaceDE/>
        <w:autoSpaceDN/>
        <w:bidi w:val="0"/>
        <w:adjustRightInd/>
        <w:spacing w:line="500" w:lineRule="atLeas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3.8</w:t>
      </w:r>
      <w:r>
        <w:rPr>
          <w:rFonts w:hint="eastAsia" w:ascii="仿宋" w:hAnsi="仿宋" w:eastAsia="仿宋" w:cs="仿宋"/>
          <w:color w:val="auto"/>
          <w:sz w:val="24"/>
          <w:highlight w:val="none"/>
        </w:rPr>
        <w:t>本招标项目采用</w:t>
      </w:r>
      <w:r>
        <w:rPr>
          <w:rFonts w:hint="eastAsia" w:ascii="仿宋" w:hAnsi="仿宋" w:eastAsia="仿宋" w:cs="仿宋"/>
          <w:b/>
          <w:bCs/>
          <w:color w:val="auto"/>
          <w:sz w:val="24"/>
          <w:highlight w:val="none"/>
          <w:u w:val="single"/>
        </w:rPr>
        <w:t>资格后审</w:t>
      </w:r>
      <w:r>
        <w:rPr>
          <w:rFonts w:hint="eastAsia" w:ascii="仿宋" w:hAnsi="仿宋" w:eastAsia="仿宋" w:cs="仿宋"/>
          <w:color w:val="auto"/>
          <w:sz w:val="24"/>
          <w:highlight w:val="none"/>
        </w:rPr>
        <w:t>方式对投标人的资格进行审查。</w:t>
      </w:r>
    </w:p>
    <w:p w14:paraId="6EAECB74">
      <w:pPr>
        <w:keepNext w:val="0"/>
        <w:keepLines w:val="0"/>
        <w:pageBreakBefore w:val="0"/>
        <w:widowControl/>
        <w:numPr>
          <w:ilvl w:val="0"/>
          <w:numId w:val="0"/>
        </w:numPr>
        <w:tabs>
          <w:tab w:val="left" w:pos="900"/>
          <w:tab w:val="left" w:pos="1100"/>
        </w:tabs>
        <w:kinsoku/>
        <w:overflowPunct/>
        <w:topLinePunct w:val="0"/>
        <w:autoSpaceDE/>
        <w:autoSpaceDN/>
        <w:bidi w:val="0"/>
        <w:adjustRightInd/>
        <w:spacing w:line="500" w:lineRule="atLeas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3.9</w:t>
      </w:r>
      <w:r>
        <w:rPr>
          <w:rFonts w:hint="eastAsia" w:ascii="仿宋" w:hAnsi="仿宋" w:eastAsia="仿宋" w:cs="仿宋"/>
          <w:color w:val="auto"/>
          <w:sz w:val="24"/>
          <w:highlight w:val="none"/>
        </w:rPr>
        <w:t xml:space="preserve">本招标项目不要求投标人在招投标期间缴纳农民工工资保证金。 </w:t>
      </w:r>
    </w:p>
    <w:p w14:paraId="47484C33">
      <w:pPr>
        <w:keepNext w:val="0"/>
        <w:keepLines w:val="0"/>
        <w:pageBreakBefore w:val="0"/>
        <w:widowControl/>
        <w:numPr>
          <w:ilvl w:val="0"/>
          <w:numId w:val="0"/>
        </w:numPr>
        <w:tabs>
          <w:tab w:val="left" w:pos="900"/>
          <w:tab w:val="left" w:pos="1100"/>
        </w:tabs>
        <w:kinsoku/>
        <w:overflowPunct/>
        <w:topLinePunct w:val="0"/>
        <w:autoSpaceDE/>
        <w:autoSpaceDN/>
        <w:bidi w:val="0"/>
        <w:adjustRightInd/>
        <w:spacing w:line="500" w:lineRule="atLeast"/>
        <w:ind w:left="510" w:leftChars="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招标文件的获取</w:t>
      </w:r>
    </w:p>
    <w:p w14:paraId="568CB2BE">
      <w:pPr>
        <w:keepNext w:val="0"/>
        <w:keepLines w:val="0"/>
        <w:pageBreakBefore w:val="0"/>
        <w:widowControl/>
        <w:tabs>
          <w:tab w:val="left" w:pos="900"/>
          <w:tab w:val="left" w:pos="1100"/>
        </w:tabs>
        <w:kinsoku/>
        <w:wordWrap/>
        <w:overflowPunct/>
        <w:topLinePunct w:val="0"/>
        <w:autoSpaceDE/>
        <w:autoSpaceDN/>
        <w:bidi w:val="0"/>
        <w:adjustRightInd/>
        <w:snapToGrid/>
        <w:spacing w:line="500" w:lineRule="atLeas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凡有意参加投标者，请于</w:t>
      </w:r>
      <w:r>
        <w:rPr>
          <w:rFonts w:hint="eastAsia" w:ascii="仿宋" w:hAnsi="仿宋" w:eastAsia="仿宋" w:cs="仿宋"/>
          <w:color w:val="auto"/>
          <w:sz w:val="24"/>
          <w:szCs w:val="24"/>
          <w:highlight w:val="none"/>
          <w:u w:val="single"/>
          <w:lang w:eastAsia="zh-CN"/>
        </w:rPr>
        <w:t>2023</w:t>
      </w:r>
      <w:r>
        <w:rPr>
          <w:rFonts w:hint="eastAsia" w:ascii="仿宋" w:hAnsi="仿宋" w:eastAsia="仿宋" w:cs="仿宋"/>
          <w:color w:val="auto"/>
          <w:sz w:val="24"/>
          <w:szCs w:val="24"/>
          <w:highlight w:val="none"/>
          <w:u w:val="none"/>
          <w:lang w:eastAsia="zh-CN"/>
        </w:rPr>
        <w:t>年</w:t>
      </w:r>
      <w:r>
        <w:rPr>
          <w:rFonts w:hint="eastAsia" w:ascii="仿宋" w:hAnsi="仿宋" w:eastAsia="仿宋" w:cs="仿宋"/>
          <w:color w:val="auto"/>
          <w:sz w:val="24"/>
          <w:szCs w:val="24"/>
          <w:highlight w:val="none"/>
          <w:u w:val="single"/>
          <w:lang w:val="en-US" w:eastAsia="zh-CN"/>
        </w:rPr>
        <w:t xml:space="preserve"> 11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20</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u w:val="single"/>
        </w:rPr>
        <w:t>09</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u w:val="single"/>
        </w:rPr>
        <w:t>00</w:t>
      </w:r>
      <w:r>
        <w:rPr>
          <w:rFonts w:hint="eastAsia" w:ascii="仿宋" w:hAnsi="仿宋" w:eastAsia="仿宋" w:cs="仿宋"/>
          <w:color w:val="auto"/>
          <w:sz w:val="24"/>
          <w:szCs w:val="24"/>
          <w:highlight w:val="none"/>
        </w:rPr>
        <w:t>分至</w:t>
      </w:r>
      <w:r>
        <w:rPr>
          <w:rFonts w:hint="eastAsia" w:ascii="仿宋" w:hAnsi="仿宋" w:eastAsia="仿宋" w:cs="仿宋"/>
          <w:color w:val="auto"/>
          <w:sz w:val="24"/>
          <w:szCs w:val="24"/>
          <w:highlight w:val="none"/>
          <w:u w:val="single"/>
          <w:lang w:eastAsia="zh-CN"/>
        </w:rPr>
        <w:t>202</w:t>
      </w:r>
      <w:r>
        <w:rPr>
          <w:rFonts w:hint="eastAsia" w:ascii="仿宋" w:hAnsi="仿宋" w:eastAsia="仿宋" w:cs="仿宋"/>
          <w:color w:val="auto"/>
          <w:sz w:val="24"/>
          <w:szCs w:val="24"/>
          <w:highlight w:val="none"/>
          <w:u w:val="single"/>
          <w:lang w:val="en-US" w:eastAsia="zh-CN"/>
        </w:rPr>
        <w:t>3</w:t>
      </w:r>
      <w:r>
        <w:rPr>
          <w:rFonts w:hint="eastAsia" w:ascii="仿宋" w:hAnsi="仿宋" w:eastAsia="仿宋" w:cs="仿宋"/>
          <w:color w:val="auto"/>
          <w:sz w:val="24"/>
          <w:szCs w:val="24"/>
          <w:highlight w:val="none"/>
          <w:u w:val="none"/>
          <w:lang w:eastAsia="zh-CN"/>
        </w:rPr>
        <w:t>年</w:t>
      </w:r>
      <w:r>
        <w:rPr>
          <w:rFonts w:hint="eastAsia" w:ascii="仿宋" w:hAnsi="仿宋" w:eastAsia="仿宋" w:cs="仿宋"/>
          <w:color w:val="auto"/>
          <w:sz w:val="24"/>
          <w:szCs w:val="24"/>
          <w:highlight w:val="none"/>
          <w:u w:val="single"/>
          <w:lang w:val="en-US" w:eastAsia="zh-CN"/>
        </w:rPr>
        <w:t xml:space="preserve"> 11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24</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u w:val="single"/>
          <w:lang w:val="en-US" w:eastAsia="zh-CN"/>
        </w:rPr>
        <w:t>17</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u w:val="single"/>
        </w:rPr>
        <w:t>30</w:t>
      </w:r>
      <w:r>
        <w:rPr>
          <w:rFonts w:hint="eastAsia" w:ascii="仿宋" w:hAnsi="仿宋" w:eastAsia="仿宋" w:cs="仿宋"/>
          <w:color w:val="auto"/>
          <w:sz w:val="24"/>
          <w:szCs w:val="24"/>
          <w:highlight w:val="none"/>
        </w:rPr>
        <w:t>分通过易交易电子招标投标交易平台采取无记名方式下载电子招标文件等相关资料。招标资料</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含招标文件、工程量清单及预算书电子版等资料）每套售价</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00元</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售后不退</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过期不售。本招标项目电子招标文件使用福建随行软件有限公司易交易电子招标投标交易平台打开。对平台操作有任何疑问，请联系福建随行软件有限公司，联系电话：400-870-5191。</w:t>
      </w:r>
    </w:p>
    <w:p w14:paraId="07AB66ED">
      <w:pPr>
        <w:keepNext w:val="0"/>
        <w:keepLines w:val="0"/>
        <w:pageBreakBefore w:val="0"/>
        <w:widowControl/>
        <w:numPr>
          <w:ilvl w:val="0"/>
          <w:numId w:val="1"/>
        </w:numPr>
        <w:tabs>
          <w:tab w:val="left" w:pos="900"/>
          <w:tab w:val="left" w:pos="1100"/>
        </w:tabs>
        <w:kinsoku/>
        <w:overflowPunct/>
        <w:topLinePunct w:val="0"/>
        <w:autoSpaceDE/>
        <w:autoSpaceDN/>
        <w:bidi w:val="0"/>
        <w:adjustRightInd/>
        <w:spacing w:line="500" w:lineRule="atLeas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评标办法</w:t>
      </w:r>
    </w:p>
    <w:p w14:paraId="69FD976D">
      <w:pPr>
        <w:keepNext w:val="0"/>
        <w:keepLines w:val="0"/>
        <w:pageBreakBefore w:val="0"/>
        <w:widowControl/>
        <w:tabs>
          <w:tab w:val="left" w:pos="0"/>
          <w:tab w:val="left" w:pos="900"/>
          <w:tab w:val="left" w:pos="1100"/>
        </w:tabs>
        <w:kinsoku/>
        <w:wordWrap/>
        <w:overflowPunct/>
        <w:topLinePunct w:val="0"/>
        <w:autoSpaceDE/>
        <w:autoSpaceDN/>
        <w:bidi w:val="0"/>
        <w:adjustRightInd/>
        <w:snapToGrid/>
        <w:spacing w:line="500" w:lineRule="exact"/>
        <w:ind w:firstLine="51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本招标项目采用的评标办法：</w:t>
      </w:r>
      <w:r>
        <w:rPr>
          <w:rFonts w:hint="eastAsia" w:ascii="仿宋" w:hAnsi="仿宋" w:eastAsia="仿宋" w:cs="仿宋"/>
          <w:b/>
          <w:bCs/>
          <w:color w:val="auto"/>
          <w:sz w:val="24"/>
          <w:highlight w:val="none"/>
          <w:u w:val="single"/>
        </w:rPr>
        <w:t>简易评标法</w:t>
      </w:r>
      <w:r>
        <w:rPr>
          <w:rFonts w:hint="eastAsia" w:ascii="仿宋" w:hAnsi="仿宋" w:eastAsia="仿宋" w:cs="仿宋"/>
          <w:color w:val="auto"/>
          <w:sz w:val="24"/>
          <w:highlight w:val="none"/>
        </w:rPr>
        <w:t>。</w:t>
      </w:r>
    </w:p>
    <w:p w14:paraId="2C06F752">
      <w:pPr>
        <w:pStyle w:val="7"/>
        <w:keepNext w:val="0"/>
        <w:keepLines w:val="0"/>
        <w:pageBreakBefore w:val="0"/>
        <w:widowControl/>
        <w:kinsoku/>
        <w:wordWrap/>
        <w:overflowPunct/>
        <w:topLinePunct w:val="0"/>
        <w:autoSpaceDE/>
        <w:autoSpaceDN/>
        <w:bidi w:val="0"/>
        <w:adjustRightInd/>
        <w:snapToGrid/>
        <w:spacing w:line="500" w:lineRule="exact"/>
        <w:textAlignment w:val="auto"/>
        <w:rPr>
          <w:rFonts w:hint="eastAsia"/>
          <w:color w:val="auto"/>
          <w:highlight w:val="none"/>
        </w:rPr>
      </w:pPr>
      <w:r>
        <w:rPr>
          <w:rFonts w:hint="eastAsia" w:ascii="仿宋" w:hAnsi="仿宋" w:eastAsia="仿宋" w:cs="仿宋"/>
          <w:color w:val="auto"/>
          <w:kern w:val="2"/>
          <w:sz w:val="24"/>
          <w:highlight w:val="none"/>
          <w:lang w:eastAsia="zh-CN"/>
        </w:rPr>
        <w:t>本招标项目采用的定标方式：</w:t>
      </w:r>
      <w:r>
        <w:rPr>
          <w:rFonts w:hint="eastAsia" w:ascii="仿宋" w:hAnsi="仿宋" w:eastAsia="仿宋" w:cs="仿宋"/>
          <w:b/>
          <w:bCs/>
          <w:color w:val="auto"/>
          <w:kern w:val="2"/>
          <w:sz w:val="24"/>
          <w:highlight w:val="none"/>
          <w:u w:val="single"/>
          <w:lang w:eastAsia="zh-CN"/>
        </w:rPr>
        <w:t>依据评标委员会推荐的中标候选人确定中标人</w:t>
      </w:r>
      <w:r>
        <w:rPr>
          <w:rFonts w:hint="eastAsia" w:ascii="仿宋" w:hAnsi="仿宋" w:eastAsia="仿宋" w:cs="仿宋"/>
          <w:color w:val="auto"/>
          <w:kern w:val="2"/>
          <w:sz w:val="24"/>
          <w:highlight w:val="none"/>
          <w:lang w:eastAsia="zh-CN"/>
        </w:rPr>
        <w:t xml:space="preserve"> 。</w:t>
      </w:r>
    </w:p>
    <w:p w14:paraId="03381700">
      <w:pPr>
        <w:keepNext w:val="0"/>
        <w:keepLines w:val="0"/>
        <w:pageBreakBefore w:val="0"/>
        <w:widowControl/>
        <w:numPr>
          <w:ilvl w:val="0"/>
          <w:numId w:val="1"/>
        </w:numPr>
        <w:tabs>
          <w:tab w:val="left" w:pos="900"/>
          <w:tab w:val="left" w:pos="1100"/>
        </w:tabs>
        <w:kinsoku/>
        <w:overflowPunct/>
        <w:topLinePunct w:val="0"/>
        <w:autoSpaceDE/>
        <w:autoSpaceDN/>
        <w:bidi w:val="0"/>
        <w:adjustRightInd/>
        <w:spacing w:line="500" w:lineRule="atLeast"/>
        <w:textAlignment w:val="auto"/>
        <w:rPr>
          <w:rFonts w:hint="eastAsia" w:ascii="仿宋" w:hAnsi="仿宋" w:eastAsia="仿宋" w:cs="仿宋"/>
          <w:color w:val="auto"/>
          <w:sz w:val="24"/>
          <w:highlight w:val="none"/>
          <w:u w:val="single"/>
        </w:rPr>
      </w:pPr>
      <w:r>
        <w:rPr>
          <w:rFonts w:hint="eastAsia" w:ascii="仿宋" w:hAnsi="仿宋" w:eastAsia="仿宋" w:cs="仿宋"/>
          <w:b/>
          <w:color w:val="auto"/>
          <w:sz w:val="24"/>
          <w:highlight w:val="none"/>
        </w:rPr>
        <w:t>投标保证金的提交</w:t>
      </w:r>
    </w:p>
    <w:p w14:paraId="5B9E7748">
      <w:pPr>
        <w:keepNext w:val="0"/>
        <w:keepLines w:val="0"/>
        <w:pageBreakBefore w:val="0"/>
        <w:widowControl/>
        <w:tabs>
          <w:tab w:val="left" w:pos="900"/>
          <w:tab w:val="left" w:pos="1100"/>
        </w:tabs>
        <w:kinsoku/>
        <w:overflowPunct/>
        <w:topLinePunct w:val="0"/>
        <w:autoSpaceDE/>
        <w:autoSpaceDN/>
        <w:bidi w:val="0"/>
        <w:adjustRightInd/>
        <w:spacing w:line="500" w:lineRule="atLeast"/>
        <w:ind w:left="51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.1.投标保证金提交的时间：</w:t>
      </w:r>
      <w:r>
        <w:rPr>
          <w:rFonts w:hint="eastAsia" w:ascii="仿宋" w:hAnsi="仿宋" w:eastAsia="仿宋" w:cs="仿宋"/>
          <w:color w:val="auto"/>
          <w:sz w:val="24"/>
          <w:szCs w:val="24"/>
          <w:highlight w:val="none"/>
          <w:u w:val="single"/>
        </w:rPr>
        <w:t>于投标截止时间前提交</w:t>
      </w:r>
      <w:r>
        <w:rPr>
          <w:rFonts w:hint="eastAsia" w:ascii="仿宋" w:hAnsi="仿宋" w:eastAsia="仿宋" w:cs="仿宋"/>
          <w:color w:val="auto"/>
          <w:sz w:val="24"/>
          <w:szCs w:val="24"/>
          <w:highlight w:val="none"/>
        </w:rPr>
        <w:t>。</w:t>
      </w:r>
    </w:p>
    <w:p w14:paraId="7DD72C41">
      <w:pPr>
        <w:keepNext w:val="0"/>
        <w:keepLines w:val="0"/>
        <w:pageBreakBefore w:val="0"/>
        <w:widowControl/>
        <w:tabs>
          <w:tab w:val="left" w:pos="900"/>
          <w:tab w:val="left" w:pos="1100"/>
        </w:tabs>
        <w:kinsoku/>
        <w:overflowPunct/>
        <w:topLinePunct w:val="0"/>
        <w:autoSpaceDE/>
        <w:autoSpaceDN/>
        <w:bidi w:val="0"/>
        <w:adjustRightInd/>
        <w:spacing w:line="500" w:lineRule="atLeast"/>
        <w:ind w:left="10" w:firstLine="499" w:firstLineChars="20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.2.投标保证金提交的金额：人民币</w:t>
      </w:r>
      <w:r>
        <w:rPr>
          <w:rFonts w:hint="eastAsia" w:ascii="仿宋" w:hAnsi="仿宋" w:eastAsia="仿宋" w:cs="仿宋"/>
          <w:b/>
          <w:color w:val="auto"/>
          <w:sz w:val="24"/>
          <w:szCs w:val="24"/>
          <w:highlight w:val="none"/>
          <w:u w:val="single"/>
          <w:lang w:val="en-US" w:eastAsia="zh-CN"/>
        </w:rPr>
        <w:t xml:space="preserve"> 10000 </w:t>
      </w:r>
      <w:r>
        <w:rPr>
          <w:rFonts w:hint="eastAsia" w:ascii="仿宋" w:hAnsi="仿宋" w:eastAsia="仿宋" w:cs="仿宋"/>
          <w:color w:val="auto"/>
          <w:sz w:val="24"/>
          <w:szCs w:val="24"/>
          <w:highlight w:val="none"/>
        </w:rPr>
        <w:t>元整。</w:t>
      </w:r>
    </w:p>
    <w:p w14:paraId="3B8A8801">
      <w:pPr>
        <w:keepNext w:val="0"/>
        <w:keepLines w:val="0"/>
        <w:pageBreakBefore w:val="0"/>
        <w:widowControl/>
        <w:tabs>
          <w:tab w:val="left" w:pos="900"/>
          <w:tab w:val="left" w:pos="1100"/>
        </w:tabs>
        <w:kinsoku/>
        <w:wordWrap/>
        <w:overflowPunct/>
        <w:topLinePunct w:val="0"/>
        <w:autoSpaceDE/>
        <w:autoSpaceDN/>
        <w:bidi w:val="0"/>
        <w:adjustRightInd/>
        <w:snapToGrid/>
        <w:spacing w:line="500" w:lineRule="atLeast"/>
        <w:ind w:firstLine="51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.3.投标保证金提交的方式：</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1</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采用银行转</w:t>
      </w:r>
      <w:r>
        <w:rPr>
          <w:rFonts w:hint="eastAsia" w:ascii="仿宋" w:hAnsi="仿宋" w:eastAsia="仿宋" w:cs="仿宋"/>
          <w:color w:val="auto"/>
          <w:sz w:val="24"/>
          <w:szCs w:val="24"/>
          <w:highlight w:val="none"/>
          <w:u w:val="single"/>
          <w:lang w:eastAsia="zh-CN"/>
        </w:rPr>
        <w:t>账</w:t>
      </w:r>
      <w:r>
        <w:rPr>
          <w:rFonts w:hint="eastAsia" w:ascii="仿宋" w:hAnsi="仿宋" w:eastAsia="仿宋" w:cs="仿宋"/>
          <w:color w:val="auto"/>
          <w:sz w:val="24"/>
          <w:szCs w:val="24"/>
          <w:highlight w:val="none"/>
          <w:u w:val="single"/>
        </w:rPr>
        <w:t>或电汇形式提交的，必须从法人单位基本</w:t>
      </w:r>
      <w:r>
        <w:rPr>
          <w:rFonts w:hint="eastAsia" w:ascii="仿宋" w:hAnsi="仿宋" w:eastAsia="仿宋" w:cs="仿宋"/>
          <w:color w:val="auto"/>
          <w:sz w:val="24"/>
          <w:szCs w:val="24"/>
          <w:highlight w:val="none"/>
          <w:u w:val="single"/>
          <w:lang w:eastAsia="zh-CN"/>
        </w:rPr>
        <w:t>账</w:t>
      </w:r>
      <w:r>
        <w:rPr>
          <w:rFonts w:hint="eastAsia" w:ascii="仿宋" w:hAnsi="仿宋" w:eastAsia="仿宋" w:cs="仿宋"/>
          <w:color w:val="auto"/>
          <w:sz w:val="24"/>
          <w:szCs w:val="24"/>
          <w:highlight w:val="none"/>
          <w:u w:val="single"/>
        </w:rPr>
        <w:t>户汇出，并注明工程招标编号</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lang w:eastAsia="zh-CN"/>
        </w:rPr>
        <w:t>）</w:t>
      </w:r>
      <w:r>
        <w:rPr>
          <w:rFonts w:hint="eastAsia" w:ascii="仿宋" w:hAnsi="仿宋" w:eastAsia="仿宋" w:cs="仿宋"/>
          <w:b w:val="0"/>
          <w:bCs w:val="0"/>
          <w:color w:val="auto"/>
          <w:sz w:val="24"/>
          <w:szCs w:val="24"/>
          <w:highlight w:val="none"/>
          <w:u w:val="single"/>
          <w:lang w:val="en-US" w:eastAsia="zh-CN"/>
        </w:rPr>
        <w:t>采用电子保函形式，投标人通过随行易交易电子招标投标交易平台购买电子保函，投标人缴纳的保函手续费应当从投标人企业基本账户以电汇或银行转账的形式转出到商业银行、保险公司、工程担保公司等保函开立人公司账户，并在电汇或银行转账单上注明招标项目编号。电汇或银行转账单以及保函开立人出具的加盖单位公章的到账证明扫描件，作为投标文件的组成部分。保函开立人依法刻制并授权用于投标保函业务的专用章，可以在本单位出具的到账证明上使用（到账证明格式详见投标文件格式）</w:t>
      </w:r>
      <w:r>
        <w:rPr>
          <w:rFonts w:hint="eastAsia" w:ascii="仿宋" w:hAnsi="仿宋" w:eastAsia="仿宋" w:cs="仿宋"/>
          <w:color w:val="auto"/>
          <w:sz w:val="24"/>
          <w:szCs w:val="24"/>
          <w:highlight w:val="none"/>
        </w:rPr>
        <w:t>。</w:t>
      </w:r>
    </w:p>
    <w:p w14:paraId="725BEFC2">
      <w:pPr>
        <w:pStyle w:val="7"/>
        <w:keepNext w:val="0"/>
        <w:keepLines w:val="0"/>
        <w:pageBreakBefore w:val="0"/>
        <w:widowControl/>
        <w:kinsoku/>
        <w:wordWrap/>
        <w:overflowPunct/>
        <w:topLinePunct w:val="0"/>
        <w:autoSpaceDE/>
        <w:autoSpaceDN/>
        <w:bidi w:val="0"/>
        <w:adjustRightInd/>
        <w:snapToGrid/>
        <w:spacing w:line="500" w:lineRule="atLeast"/>
        <w:textAlignment w:val="auto"/>
        <w:rPr>
          <w:rFonts w:hint="eastAsia" w:ascii="仿宋" w:hAnsi="仿宋" w:eastAsia="仿宋" w:cs="仿宋"/>
          <w:color w:val="auto"/>
          <w:sz w:val="24"/>
          <w:szCs w:val="24"/>
          <w:highlight w:val="none"/>
          <w:u w:val="none"/>
          <w:lang w:val="en-US" w:eastAsia="zh-CN" w:bidi="ar-SA"/>
        </w:rPr>
      </w:pPr>
      <w:r>
        <w:rPr>
          <w:rFonts w:hint="eastAsia" w:ascii="仿宋" w:hAnsi="仿宋" w:eastAsia="仿宋" w:cs="仿宋"/>
          <w:color w:val="auto"/>
          <w:sz w:val="24"/>
          <w:szCs w:val="24"/>
          <w:highlight w:val="none"/>
          <w:u w:val="none"/>
          <w:lang w:val="en-US" w:eastAsia="zh-CN" w:bidi="ar-SA"/>
        </w:rPr>
        <w:t>投标保证金银行账号:</w:t>
      </w:r>
    </w:p>
    <w:p w14:paraId="12B1E6A1">
      <w:pPr>
        <w:pStyle w:val="7"/>
        <w:keepNext w:val="0"/>
        <w:keepLines w:val="0"/>
        <w:pageBreakBefore w:val="0"/>
        <w:kinsoku/>
        <w:overflowPunct/>
        <w:topLinePunct w:val="0"/>
        <w:autoSpaceDE/>
        <w:autoSpaceDN/>
        <w:bidi w:val="0"/>
        <w:spacing w:line="500" w:lineRule="atLeast"/>
        <w:rPr>
          <w:rFonts w:hint="eastAsia" w:ascii="仿宋" w:hAnsi="仿宋" w:eastAsia="仿宋" w:cs="仿宋"/>
          <w:color w:val="auto"/>
          <w:sz w:val="24"/>
          <w:szCs w:val="24"/>
          <w:highlight w:val="none"/>
          <w:u w:val="single"/>
          <w:lang w:val="en-US" w:eastAsia="zh-CN" w:bidi="ar-SA"/>
        </w:rPr>
      </w:pPr>
      <w:r>
        <w:rPr>
          <w:rFonts w:hint="eastAsia" w:ascii="仿宋" w:hAnsi="仿宋" w:eastAsia="仿宋" w:cs="仿宋"/>
          <w:color w:val="auto"/>
          <w:sz w:val="24"/>
          <w:szCs w:val="24"/>
          <w:highlight w:val="none"/>
          <w:u w:val="none"/>
          <w:lang w:val="en-US" w:eastAsia="zh-CN" w:bidi="ar-SA"/>
        </w:rPr>
        <w:t>开户银行：</w:t>
      </w:r>
      <w:r>
        <w:rPr>
          <w:rFonts w:hint="eastAsia" w:ascii="仿宋" w:hAnsi="仿宋" w:eastAsia="仿宋" w:cs="仿宋"/>
          <w:color w:val="auto"/>
          <w:sz w:val="24"/>
          <w:szCs w:val="24"/>
          <w:highlight w:val="none"/>
          <w:u w:val="single"/>
          <w:lang w:val="en-US" w:eastAsia="zh-CN" w:bidi="ar-SA"/>
        </w:rPr>
        <w:t> 招商银行股份有限公司福州分行营业部；</w:t>
      </w:r>
    </w:p>
    <w:p w14:paraId="7F64BF24">
      <w:pPr>
        <w:pStyle w:val="7"/>
        <w:keepNext w:val="0"/>
        <w:keepLines w:val="0"/>
        <w:pageBreakBefore w:val="0"/>
        <w:kinsoku/>
        <w:overflowPunct/>
        <w:topLinePunct w:val="0"/>
        <w:autoSpaceDE/>
        <w:autoSpaceDN/>
        <w:bidi w:val="0"/>
        <w:spacing w:line="500" w:lineRule="atLeast"/>
        <w:rPr>
          <w:rFonts w:hint="eastAsia" w:ascii="仿宋" w:hAnsi="仿宋" w:eastAsia="仿宋" w:cs="仿宋"/>
          <w:color w:val="auto"/>
          <w:sz w:val="24"/>
          <w:szCs w:val="24"/>
          <w:highlight w:val="none"/>
          <w:u w:val="single"/>
          <w:lang w:val="en-US" w:eastAsia="zh-CN" w:bidi="ar-SA"/>
        </w:rPr>
      </w:pPr>
      <w:r>
        <w:rPr>
          <w:rFonts w:hint="eastAsia" w:ascii="仿宋" w:hAnsi="仿宋" w:eastAsia="仿宋" w:cs="仿宋"/>
          <w:color w:val="auto"/>
          <w:sz w:val="24"/>
          <w:szCs w:val="24"/>
          <w:highlight w:val="none"/>
          <w:u w:val="none"/>
          <w:lang w:val="en-US" w:eastAsia="zh-CN" w:bidi="ar-SA"/>
        </w:rPr>
        <w:t>账户名称：</w:t>
      </w:r>
      <w:r>
        <w:rPr>
          <w:rFonts w:hint="eastAsia" w:ascii="仿宋" w:hAnsi="仿宋" w:eastAsia="仿宋" w:cs="仿宋"/>
          <w:color w:val="auto"/>
          <w:sz w:val="24"/>
          <w:szCs w:val="24"/>
          <w:highlight w:val="none"/>
          <w:u w:val="single"/>
          <w:lang w:val="en-US" w:eastAsia="zh-CN" w:bidi="ar-SA"/>
        </w:rPr>
        <w:t> 福建随行软件有限公司；</w:t>
      </w:r>
    </w:p>
    <w:p w14:paraId="3CF8DBA3">
      <w:pPr>
        <w:pStyle w:val="7"/>
        <w:keepNext w:val="0"/>
        <w:keepLines w:val="0"/>
        <w:pageBreakBefore w:val="0"/>
        <w:kinsoku/>
        <w:overflowPunct/>
        <w:topLinePunct w:val="0"/>
        <w:autoSpaceDE/>
        <w:autoSpaceDN/>
        <w:bidi w:val="0"/>
        <w:spacing w:line="500" w:lineRule="atLeast"/>
        <w:rPr>
          <w:rFonts w:hint="eastAsia"/>
          <w:color w:val="auto"/>
          <w:highlight w:val="none"/>
        </w:rPr>
      </w:pPr>
      <w:r>
        <w:rPr>
          <w:rFonts w:hint="eastAsia" w:ascii="仿宋" w:hAnsi="仿宋" w:eastAsia="仿宋" w:cs="仿宋"/>
          <w:color w:val="auto"/>
          <w:sz w:val="24"/>
          <w:szCs w:val="24"/>
          <w:highlight w:val="none"/>
          <w:u w:val="none"/>
          <w:lang w:val="en-US" w:eastAsia="zh-CN" w:bidi="ar-SA"/>
        </w:rPr>
        <w:t>账    号：</w:t>
      </w:r>
      <w:r>
        <w:rPr>
          <w:rFonts w:hint="eastAsia" w:ascii="仿宋" w:hAnsi="仿宋" w:eastAsia="仿宋" w:cs="仿宋"/>
          <w:color w:val="auto"/>
          <w:sz w:val="24"/>
          <w:szCs w:val="24"/>
          <w:highlight w:val="none"/>
          <w:u w:val="single"/>
          <w:lang w:val="en-US" w:eastAsia="zh-CN" w:bidi="ar-SA"/>
        </w:rPr>
        <w:t> 在线获取保证金子账号；</w:t>
      </w:r>
    </w:p>
    <w:p w14:paraId="591A005E">
      <w:pPr>
        <w:keepNext w:val="0"/>
        <w:keepLines w:val="0"/>
        <w:pageBreakBefore w:val="0"/>
        <w:widowControl/>
        <w:numPr>
          <w:ilvl w:val="0"/>
          <w:numId w:val="1"/>
        </w:numPr>
        <w:tabs>
          <w:tab w:val="left" w:pos="900"/>
          <w:tab w:val="left" w:pos="1100"/>
        </w:tabs>
        <w:kinsoku/>
        <w:overflowPunct/>
        <w:topLinePunct w:val="0"/>
        <w:autoSpaceDE/>
        <w:autoSpaceDN/>
        <w:bidi w:val="0"/>
        <w:adjustRightInd/>
        <w:spacing w:line="500" w:lineRule="atLeas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投标文件的递交</w:t>
      </w:r>
    </w:p>
    <w:p w14:paraId="50B0E711">
      <w:pPr>
        <w:keepNext w:val="0"/>
        <w:keepLines w:val="0"/>
        <w:pageBreakBefore w:val="0"/>
        <w:widowControl/>
        <w:tabs>
          <w:tab w:val="left" w:pos="900"/>
          <w:tab w:val="left" w:pos="1100"/>
        </w:tabs>
        <w:kinsoku/>
        <w:overflowPunct/>
        <w:topLinePunct w:val="0"/>
        <w:autoSpaceDE/>
        <w:autoSpaceDN/>
        <w:bidi w:val="0"/>
        <w:spacing w:line="500" w:lineRule="atLeas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.1.投标文件递交的截止时间（开标时间）：</w:t>
      </w:r>
      <w:r>
        <w:rPr>
          <w:rFonts w:hint="eastAsia" w:ascii="仿宋" w:hAnsi="仿宋" w:eastAsia="仿宋" w:cs="仿宋"/>
          <w:color w:val="auto"/>
          <w:sz w:val="24"/>
          <w:szCs w:val="24"/>
          <w:highlight w:val="none"/>
          <w:u w:val="single"/>
          <w:lang w:eastAsia="zh-CN"/>
        </w:rPr>
        <w:t>202</w:t>
      </w:r>
      <w:r>
        <w:rPr>
          <w:rFonts w:hint="eastAsia" w:ascii="仿宋" w:hAnsi="仿宋" w:eastAsia="仿宋" w:cs="仿宋"/>
          <w:color w:val="auto"/>
          <w:sz w:val="24"/>
          <w:szCs w:val="24"/>
          <w:highlight w:val="none"/>
          <w:u w:val="single"/>
          <w:lang w:val="en-US" w:eastAsia="zh-CN"/>
        </w:rPr>
        <w:t>3</w:t>
      </w:r>
      <w:r>
        <w:rPr>
          <w:rFonts w:hint="eastAsia" w:ascii="仿宋" w:hAnsi="仿宋" w:eastAsia="仿宋" w:cs="仿宋"/>
          <w:color w:val="auto"/>
          <w:sz w:val="24"/>
          <w:szCs w:val="24"/>
          <w:highlight w:val="none"/>
          <w:u w:val="none"/>
          <w:lang w:eastAsia="zh-CN"/>
        </w:rPr>
        <w:t>年</w:t>
      </w:r>
      <w:r>
        <w:rPr>
          <w:rFonts w:hint="eastAsia" w:ascii="仿宋" w:hAnsi="仿宋" w:eastAsia="仿宋" w:cs="仿宋"/>
          <w:color w:val="auto"/>
          <w:sz w:val="24"/>
          <w:szCs w:val="24"/>
          <w:highlight w:val="none"/>
          <w:u w:val="single"/>
          <w:lang w:val="en-US" w:eastAsia="zh-CN"/>
        </w:rPr>
        <w:t>12</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1</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u w:val="single"/>
          <w:lang w:val="en-US" w:eastAsia="zh-CN"/>
        </w:rPr>
        <w:t>09</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u w:val="single"/>
          <w:lang w:val="en-US" w:eastAsia="zh-CN"/>
        </w:rPr>
        <w:t>3</w:t>
      </w:r>
      <w:r>
        <w:rPr>
          <w:rFonts w:hint="eastAsia" w:ascii="仿宋" w:hAnsi="仿宋" w:eastAsia="仿宋" w:cs="仿宋"/>
          <w:color w:val="auto"/>
          <w:sz w:val="24"/>
          <w:szCs w:val="24"/>
          <w:highlight w:val="none"/>
          <w:u w:val="single"/>
        </w:rPr>
        <w:t>0</w:t>
      </w:r>
      <w:r>
        <w:rPr>
          <w:rFonts w:hint="eastAsia" w:ascii="仿宋" w:hAnsi="仿宋" w:eastAsia="仿宋" w:cs="仿宋"/>
          <w:color w:val="auto"/>
          <w:sz w:val="24"/>
          <w:szCs w:val="24"/>
          <w:highlight w:val="none"/>
        </w:rPr>
        <w:t>分，投标人应在截止时间前通过</w:t>
      </w:r>
      <w:r>
        <w:rPr>
          <w:rFonts w:hint="eastAsia" w:ascii="仿宋" w:hAnsi="仿宋" w:eastAsia="仿宋" w:cs="仿宋"/>
          <w:color w:val="auto"/>
          <w:sz w:val="24"/>
          <w:szCs w:val="24"/>
          <w:highlight w:val="none"/>
          <w:u w:val="single"/>
        </w:rPr>
        <w:t>易交易电子招标投标交易平台（https://www.enjoy5191.com）</w:t>
      </w:r>
      <w:r>
        <w:rPr>
          <w:rFonts w:hint="eastAsia" w:ascii="仿宋" w:hAnsi="仿宋" w:eastAsia="仿宋" w:cs="仿宋"/>
          <w:color w:val="auto"/>
          <w:sz w:val="24"/>
          <w:szCs w:val="24"/>
          <w:highlight w:val="none"/>
        </w:rPr>
        <w:t>递交电子投标文件。</w:t>
      </w:r>
    </w:p>
    <w:p w14:paraId="47D9010E">
      <w:pPr>
        <w:keepNext w:val="0"/>
        <w:keepLines w:val="0"/>
        <w:pageBreakBefore w:val="0"/>
        <w:widowControl/>
        <w:tabs>
          <w:tab w:val="left" w:pos="900"/>
          <w:tab w:val="left" w:pos="1100"/>
        </w:tabs>
        <w:kinsoku/>
        <w:overflowPunct/>
        <w:topLinePunct w:val="0"/>
        <w:autoSpaceDE/>
        <w:autoSpaceDN/>
        <w:bidi w:val="0"/>
        <w:spacing w:line="500" w:lineRule="atLeas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.2.逾期递交电子投标文件的，电子招标投标交易平台将予以拒收。</w:t>
      </w:r>
    </w:p>
    <w:p w14:paraId="35CA273F">
      <w:pPr>
        <w:keepNext w:val="0"/>
        <w:keepLines w:val="0"/>
        <w:pageBreakBefore w:val="0"/>
        <w:widowControl/>
        <w:tabs>
          <w:tab w:val="left" w:pos="900"/>
          <w:tab w:val="left" w:pos="1100"/>
        </w:tabs>
        <w:kinsoku/>
        <w:overflowPunct/>
        <w:topLinePunct w:val="0"/>
        <w:autoSpaceDE/>
        <w:autoSpaceDN/>
        <w:bidi w:val="0"/>
        <w:spacing w:line="500" w:lineRule="atLeas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3.本工程采用网上无纸化招投标，投标人须于投标截止时间前通过电子招标投标交易平台在线递交投标文件，投标人可对已投递的电子投标文件撤回、编辑再投递，交易系统以投标截止时间前最后一份投递成功的电子投标文件信息为准。投标人必须严格按照电子招标投标交易平台的操作规程编制电子投标文件并对其进行加密和上传，有关投标的操作规程详见电子招标投标交易平台的相关使用说明或电话咨询客服（联系电话：4008705191）。</w:t>
      </w:r>
    </w:p>
    <w:p w14:paraId="2AE45654">
      <w:pPr>
        <w:keepNext w:val="0"/>
        <w:keepLines w:val="0"/>
        <w:pageBreakBefore w:val="0"/>
        <w:widowControl/>
        <w:tabs>
          <w:tab w:val="left" w:pos="900"/>
          <w:tab w:val="left" w:pos="1100"/>
        </w:tabs>
        <w:kinsoku/>
        <w:overflowPunct/>
        <w:topLinePunct w:val="0"/>
        <w:autoSpaceDE/>
        <w:autoSpaceDN/>
        <w:bidi w:val="0"/>
        <w:spacing w:line="500" w:lineRule="atLeas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.4电子投标文件解密：</w:t>
      </w:r>
    </w:p>
    <w:p w14:paraId="09EC39F6">
      <w:pPr>
        <w:keepNext w:val="0"/>
        <w:keepLines w:val="0"/>
        <w:pageBreakBefore w:val="0"/>
        <w:widowControl/>
        <w:tabs>
          <w:tab w:val="left" w:pos="900"/>
          <w:tab w:val="left" w:pos="1100"/>
        </w:tabs>
        <w:kinsoku/>
        <w:overflowPunct/>
        <w:topLinePunct w:val="0"/>
        <w:autoSpaceDE/>
        <w:autoSpaceDN/>
        <w:bidi w:val="0"/>
        <w:adjustRightInd/>
        <w:spacing w:line="500" w:lineRule="atLeas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投标人应在开始解密时间起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30 </w:t>
      </w:r>
      <w:r>
        <w:rPr>
          <w:rFonts w:hint="eastAsia" w:ascii="仿宋" w:hAnsi="仿宋" w:eastAsia="仿宋" w:cs="仿宋"/>
          <w:color w:val="auto"/>
          <w:sz w:val="24"/>
          <w:szCs w:val="24"/>
          <w:highlight w:val="none"/>
        </w:rPr>
        <w:t>分钟内在线进行电子投标文件的解密操作，因投标人原因未在规定时间内解密，其投标视为无效。</w:t>
      </w:r>
    </w:p>
    <w:p w14:paraId="3BD33A90">
      <w:pPr>
        <w:keepNext w:val="0"/>
        <w:keepLines w:val="0"/>
        <w:pageBreakBefore w:val="0"/>
        <w:widowControl/>
        <w:numPr>
          <w:ilvl w:val="0"/>
          <w:numId w:val="1"/>
        </w:numPr>
        <w:tabs>
          <w:tab w:val="left" w:pos="900"/>
          <w:tab w:val="left" w:pos="1100"/>
        </w:tabs>
        <w:kinsoku/>
        <w:overflowPunct/>
        <w:topLinePunct w:val="0"/>
        <w:autoSpaceDE/>
        <w:autoSpaceDN/>
        <w:bidi w:val="0"/>
        <w:adjustRightInd/>
        <w:spacing w:line="500" w:lineRule="atLeas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发布公告的媒介</w:t>
      </w:r>
    </w:p>
    <w:p w14:paraId="3650B61B">
      <w:pPr>
        <w:keepNext w:val="0"/>
        <w:keepLines w:val="0"/>
        <w:pageBreakBefore w:val="0"/>
        <w:widowControl/>
        <w:tabs>
          <w:tab w:val="left" w:pos="900"/>
          <w:tab w:val="left" w:pos="1100"/>
        </w:tabs>
        <w:kinsoku/>
        <w:overflowPunct/>
        <w:topLinePunct w:val="0"/>
        <w:autoSpaceDE/>
        <w:autoSpaceDN/>
        <w:bidi w:val="0"/>
        <w:adjustRightInd/>
        <w:spacing w:line="500" w:lineRule="atLeas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本次招标公告同时在</w:t>
      </w:r>
      <w:r>
        <w:rPr>
          <w:rFonts w:hint="eastAsia" w:ascii="仿宋" w:hAnsi="仿宋" w:eastAsia="仿宋" w:cs="仿宋"/>
          <w:color w:val="auto"/>
          <w:sz w:val="24"/>
          <w:szCs w:val="22"/>
          <w:highlight w:val="none"/>
          <w:u w:val="single"/>
          <w:lang w:eastAsia="zh-CN"/>
        </w:rPr>
        <w:t>易交易电子招标投标交易平台（https://www.enjoy5191.com/）、</w:t>
      </w:r>
      <w:r>
        <w:rPr>
          <w:rFonts w:hint="eastAsia" w:ascii="仿宋" w:hAnsi="仿宋" w:eastAsia="仿宋" w:cs="仿宋"/>
          <w:b w:val="0"/>
          <w:bCs/>
          <w:color w:val="auto"/>
          <w:sz w:val="24"/>
          <w:highlight w:val="none"/>
          <w:u w:val="single"/>
          <w:lang w:val="en-US" w:eastAsia="zh-CN"/>
        </w:rPr>
        <w:t>晋江市人民政府（http://www.jinjiang.gov.cn/xxgk/ggzypz/gcztb/）</w:t>
      </w:r>
      <w:r>
        <w:rPr>
          <w:rFonts w:hint="eastAsia" w:ascii="仿宋" w:hAnsi="仿宋" w:eastAsia="仿宋" w:cs="仿宋"/>
          <w:color w:val="auto"/>
          <w:sz w:val="24"/>
          <w:highlight w:val="none"/>
        </w:rPr>
        <w:t>上发布。</w:t>
      </w:r>
    </w:p>
    <w:p w14:paraId="16B4BDA4">
      <w:pPr>
        <w:keepNext w:val="0"/>
        <w:keepLines w:val="0"/>
        <w:pageBreakBefore w:val="0"/>
        <w:widowControl/>
        <w:numPr>
          <w:ilvl w:val="0"/>
          <w:numId w:val="1"/>
        </w:numPr>
        <w:tabs>
          <w:tab w:val="left" w:pos="900"/>
          <w:tab w:val="left" w:pos="1100"/>
        </w:tabs>
        <w:kinsoku/>
        <w:overflowPunct/>
        <w:topLinePunct w:val="0"/>
        <w:autoSpaceDE/>
        <w:autoSpaceDN/>
        <w:bidi w:val="0"/>
        <w:adjustRightInd/>
        <w:spacing w:line="500" w:lineRule="atLeas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联系方式</w:t>
      </w:r>
    </w:p>
    <w:p w14:paraId="58325FBD">
      <w:pPr>
        <w:pStyle w:val="3"/>
        <w:keepNext w:val="0"/>
        <w:keepLines w:val="0"/>
        <w:pageBreakBefore w:val="0"/>
        <w:widowControl w:val="0"/>
        <w:kinsoku/>
        <w:wordWrap/>
        <w:overflowPunct/>
        <w:topLinePunct w:val="0"/>
        <w:autoSpaceDE/>
        <w:autoSpaceDN/>
        <w:bidi w:val="0"/>
        <w:adjustRightInd w:val="0"/>
        <w:snapToGrid w:val="0"/>
        <w:spacing w:line="500" w:lineRule="atLeast"/>
        <w:ind w:left="0" w:leftChars="0" w:firstLine="480" w:firstLineChars="200"/>
        <w:textAlignment w:val="baseline"/>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招标人：</w:t>
      </w:r>
      <w:r>
        <w:rPr>
          <w:rFonts w:hint="eastAsia" w:ascii="仿宋" w:hAnsi="仿宋" w:eastAsia="仿宋" w:cs="仿宋"/>
          <w:color w:val="auto"/>
          <w:sz w:val="24"/>
          <w:szCs w:val="24"/>
          <w:highlight w:val="none"/>
          <w:u w:val="single"/>
          <w:lang w:val="en-US" w:eastAsia="zh-CN"/>
        </w:rPr>
        <w:t xml:space="preserve">  福建省泉州市晋江市磁灶镇苏垵村民委员会 </w:t>
      </w:r>
      <w:r>
        <w:rPr>
          <w:rFonts w:hint="eastAsia" w:ascii="仿宋" w:hAnsi="仿宋" w:eastAsia="仿宋" w:cs="仿宋"/>
          <w:color w:val="auto"/>
          <w:sz w:val="24"/>
          <w:szCs w:val="24"/>
          <w:highlight w:val="none"/>
          <w:lang w:eastAsia="zh-CN"/>
        </w:rPr>
        <w:t>（盖章）</w:t>
      </w:r>
      <w:r>
        <w:rPr>
          <w:rFonts w:hint="eastAsia" w:ascii="仿宋" w:hAnsi="仿宋" w:eastAsia="仿宋" w:cs="仿宋"/>
          <w:color w:val="auto"/>
          <w:sz w:val="24"/>
          <w:szCs w:val="24"/>
          <w:highlight w:val="none"/>
          <w:u w:val="none"/>
        </w:rPr>
        <w:t xml:space="preserve"> </w:t>
      </w:r>
    </w:p>
    <w:p w14:paraId="1312963F">
      <w:pPr>
        <w:pStyle w:val="3"/>
        <w:keepNext w:val="0"/>
        <w:keepLines w:val="0"/>
        <w:pageBreakBefore w:val="0"/>
        <w:widowControl w:val="0"/>
        <w:kinsoku/>
        <w:wordWrap/>
        <w:overflowPunct/>
        <w:topLinePunct w:val="0"/>
        <w:autoSpaceDE/>
        <w:autoSpaceDN/>
        <w:bidi w:val="0"/>
        <w:adjustRightInd w:val="0"/>
        <w:snapToGrid w:val="0"/>
        <w:spacing w:line="500" w:lineRule="atLeast"/>
        <w:ind w:left="0" w:leftChars="0" w:firstLine="480" w:firstLineChars="200"/>
        <w:textAlignment w:val="baseline"/>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地  址：</w:t>
      </w:r>
      <w:r>
        <w:rPr>
          <w:rFonts w:hint="eastAsia" w:ascii="仿宋" w:hAnsi="仿宋" w:eastAsia="仿宋" w:cs="仿宋"/>
          <w:color w:val="auto"/>
          <w:sz w:val="24"/>
          <w:szCs w:val="24"/>
          <w:highlight w:val="none"/>
          <w:u w:val="single"/>
          <w:lang w:val="en-US" w:eastAsia="zh-CN"/>
        </w:rPr>
        <w:t>晋江市磁灶镇</w:t>
      </w:r>
      <w:r>
        <w:rPr>
          <w:rFonts w:hint="eastAsia" w:ascii="仿宋" w:hAnsi="仿宋" w:eastAsia="仿宋" w:cs="仿宋"/>
          <w:color w:val="auto"/>
          <w:sz w:val="24"/>
          <w:szCs w:val="24"/>
          <w:highlight w:val="none"/>
          <w:u w:val="none"/>
        </w:rPr>
        <w:t>，邮编：</w:t>
      </w:r>
      <w:r>
        <w:rPr>
          <w:rFonts w:hint="eastAsia" w:ascii="仿宋" w:hAnsi="仿宋" w:eastAsia="仿宋" w:cs="仿宋"/>
          <w:color w:val="auto"/>
          <w:sz w:val="24"/>
          <w:szCs w:val="24"/>
          <w:highlight w:val="none"/>
          <w:u w:val="single"/>
          <w:lang w:eastAsia="zh-CN"/>
        </w:rPr>
        <w:t>36220</w:t>
      </w:r>
      <w:r>
        <w:rPr>
          <w:rFonts w:hint="eastAsia" w:ascii="仿宋" w:hAnsi="仿宋" w:eastAsia="仿宋" w:cs="仿宋"/>
          <w:color w:val="auto"/>
          <w:sz w:val="24"/>
          <w:szCs w:val="24"/>
          <w:highlight w:val="none"/>
          <w:u w:val="single"/>
          <w:lang w:val="en-US" w:eastAsia="zh-CN"/>
        </w:rPr>
        <w:t>0</w:t>
      </w:r>
    </w:p>
    <w:p w14:paraId="37F7A117">
      <w:pPr>
        <w:pStyle w:val="3"/>
        <w:keepNext w:val="0"/>
        <w:keepLines w:val="0"/>
        <w:pageBreakBefore w:val="0"/>
        <w:widowControl w:val="0"/>
        <w:kinsoku/>
        <w:wordWrap/>
        <w:overflowPunct/>
        <w:topLinePunct w:val="0"/>
        <w:autoSpaceDE/>
        <w:autoSpaceDN/>
        <w:bidi w:val="0"/>
        <w:adjustRightInd w:val="0"/>
        <w:snapToGrid w:val="0"/>
        <w:spacing w:line="500" w:lineRule="atLeast"/>
        <w:ind w:left="0" w:leftChars="0" w:firstLine="480" w:firstLineChars="200"/>
        <w:textAlignment w:val="baseline"/>
        <w:rPr>
          <w:rFonts w:hint="default" w:ascii="仿宋" w:hAnsi="仿宋" w:eastAsia="仿宋" w:cs="仿宋"/>
          <w:color w:val="auto"/>
          <w:sz w:val="24"/>
          <w:szCs w:val="24"/>
          <w:highlight w:val="none"/>
          <w:u w:val="none"/>
          <w:lang w:val="en-US"/>
        </w:rPr>
      </w:pPr>
      <w:r>
        <w:rPr>
          <w:rFonts w:hint="eastAsia" w:ascii="仿宋" w:hAnsi="仿宋" w:eastAsia="仿宋" w:cs="仿宋"/>
          <w:color w:val="auto"/>
          <w:sz w:val="24"/>
          <w:szCs w:val="24"/>
          <w:highlight w:val="none"/>
          <w:u w:val="none"/>
        </w:rPr>
        <w:t>电  话：</w:t>
      </w:r>
      <w:r>
        <w:rPr>
          <w:rFonts w:hint="eastAsia" w:ascii="仿宋" w:hAnsi="仿宋" w:eastAsia="仿宋" w:cs="仿宋"/>
          <w:color w:val="auto"/>
          <w:sz w:val="24"/>
          <w:szCs w:val="24"/>
          <w:highlight w:val="none"/>
          <w:u w:val="single"/>
          <w:lang w:val="en-US" w:eastAsia="zh-CN"/>
        </w:rPr>
        <w:t xml:space="preserve">  13905059582  </w:t>
      </w:r>
    </w:p>
    <w:p w14:paraId="1F046A04">
      <w:pPr>
        <w:pStyle w:val="3"/>
        <w:keepNext w:val="0"/>
        <w:keepLines w:val="0"/>
        <w:pageBreakBefore w:val="0"/>
        <w:widowControl w:val="0"/>
        <w:kinsoku/>
        <w:wordWrap/>
        <w:overflowPunct/>
        <w:topLinePunct w:val="0"/>
        <w:autoSpaceDE/>
        <w:autoSpaceDN/>
        <w:bidi w:val="0"/>
        <w:adjustRightInd w:val="0"/>
        <w:snapToGrid w:val="0"/>
        <w:spacing w:line="500" w:lineRule="atLeast"/>
        <w:ind w:left="0" w:leftChars="0" w:firstLine="480" w:firstLineChars="200"/>
        <w:textAlignment w:val="baseline"/>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联系人：</w:t>
      </w:r>
      <w:r>
        <w:rPr>
          <w:rFonts w:hint="eastAsia" w:ascii="仿宋" w:hAnsi="仿宋" w:eastAsia="仿宋" w:cs="仿宋"/>
          <w:color w:val="auto"/>
          <w:sz w:val="24"/>
          <w:szCs w:val="24"/>
          <w:highlight w:val="none"/>
          <w:u w:val="single"/>
          <w:lang w:val="en-US" w:eastAsia="zh-CN"/>
        </w:rPr>
        <w:t xml:space="preserve">   陈先生 </w:t>
      </w:r>
    </w:p>
    <w:p w14:paraId="010D9252">
      <w:pPr>
        <w:pStyle w:val="3"/>
        <w:keepNext w:val="0"/>
        <w:keepLines w:val="0"/>
        <w:pageBreakBefore w:val="0"/>
        <w:widowControl w:val="0"/>
        <w:kinsoku/>
        <w:wordWrap/>
        <w:overflowPunct/>
        <w:topLinePunct w:val="0"/>
        <w:autoSpaceDE/>
        <w:autoSpaceDN/>
        <w:bidi w:val="0"/>
        <w:adjustRightInd w:val="0"/>
        <w:snapToGrid w:val="0"/>
        <w:spacing w:line="500" w:lineRule="atLeast"/>
        <w:ind w:left="0" w:leftChars="0" w:firstLine="480" w:firstLineChars="200"/>
        <w:textAlignment w:val="baseline"/>
        <w:rPr>
          <w:rFonts w:hint="eastAsia" w:ascii="仿宋" w:hAnsi="仿宋" w:eastAsia="仿宋" w:cs="仿宋"/>
          <w:color w:val="auto"/>
          <w:sz w:val="24"/>
          <w:szCs w:val="24"/>
          <w:highlight w:val="none"/>
        </w:rPr>
      </w:pPr>
    </w:p>
    <w:p w14:paraId="251BF5C4">
      <w:pPr>
        <w:pStyle w:val="3"/>
        <w:keepNext w:val="0"/>
        <w:keepLines w:val="0"/>
        <w:pageBreakBefore w:val="0"/>
        <w:widowControl w:val="0"/>
        <w:kinsoku/>
        <w:wordWrap/>
        <w:overflowPunct/>
        <w:topLinePunct w:val="0"/>
        <w:autoSpaceDE/>
        <w:autoSpaceDN/>
        <w:bidi w:val="0"/>
        <w:adjustRightInd w:val="0"/>
        <w:snapToGrid w:val="0"/>
        <w:spacing w:line="500" w:lineRule="atLeast"/>
        <w:ind w:left="0" w:leftChars="0" w:firstLine="480" w:firstLineChars="200"/>
        <w:textAlignment w:val="baseline"/>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招标代理机构：</w:t>
      </w:r>
      <w:r>
        <w:rPr>
          <w:rFonts w:hint="eastAsia" w:ascii="仿宋" w:hAnsi="仿宋" w:eastAsia="仿宋" w:cs="仿宋"/>
          <w:color w:val="auto"/>
          <w:sz w:val="24"/>
          <w:szCs w:val="24"/>
          <w:highlight w:val="none"/>
          <w:u w:val="single"/>
          <w:lang w:eastAsia="zh-CN"/>
        </w:rPr>
        <w:t xml:space="preserve">泉州晋港工程项目管理有限公司 </w:t>
      </w:r>
      <w:r>
        <w:rPr>
          <w:rFonts w:hint="eastAsia" w:ascii="仿宋" w:hAnsi="仿宋" w:eastAsia="仿宋" w:cs="仿宋"/>
          <w:color w:val="auto"/>
          <w:sz w:val="24"/>
          <w:szCs w:val="24"/>
          <w:highlight w:val="none"/>
          <w:lang w:eastAsia="zh-CN"/>
        </w:rPr>
        <w:t>（盖章）</w:t>
      </w:r>
    </w:p>
    <w:p w14:paraId="5F39A83E">
      <w:pPr>
        <w:pStyle w:val="3"/>
        <w:keepNext w:val="0"/>
        <w:keepLines w:val="0"/>
        <w:pageBreakBefore w:val="0"/>
        <w:widowControl w:val="0"/>
        <w:kinsoku/>
        <w:wordWrap/>
        <w:overflowPunct/>
        <w:topLinePunct w:val="0"/>
        <w:autoSpaceDE/>
        <w:autoSpaceDN/>
        <w:bidi w:val="0"/>
        <w:adjustRightInd w:val="0"/>
        <w:snapToGrid w:val="0"/>
        <w:spacing w:line="500" w:lineRule="atLeast"/>
        <w:ind w:left="0" w:leftChars="0" w:firstLine="480" w:firstLineChars="200"/>
        <w:textAlignment w:val="baseline"/>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lang w:eastAsia="zh-CN"/>
        </w:rPr>
        <w:t>福建省泉州市丰泽区东海街道云山社区云盛路15-1号杰利大厦别墅3层305室</w:t>
      </w:r>
    </w:p>
    <w:p w14:paraId="67F2F3EC">
      <w:pPr>
        <w:pStyle w:val="3"/>
        <w:keepNext w:val="0"/>
        <w:keepLines w:val="0"/>
        <w:pageBreakBefore w:val="0"/>
        <w:widowControl w:val="0"/>
        <w:kinsoku/>
        <w:wordWrap/>
        <w:overflowPunct/>
        <w:topLinePunct w:val="0"/>
        <w:autoSpaceDE/>
        <w:autoSpaceDN/>
        <w:bidi w:val="0"/>
        <w:adjustRightInd w:val="0"/>
        <w:snapToGrid w:val="0"/>
        <w:spacing w:line="500" w:lineRule="atLeast"/>
        <w:ind w:left="0" w:leftChars="0" w:firstLine="480" w:firstLineChars="200"/>
        <w:textAlignment w:val="baseline"/>
        <w:rPr>
          <w:rFonts w:hint="eastAsia" w:ascii="仿宋" w:hAnsi="仿宋" w:eastAsia="仿宋" w:cs="仿宋"/>
          <w:color w:val="auto"/>
          <w:spacing w:val="-20"/>
          <w:sz w:val="24"/>
          <w:szCs w:val="24"/>
          <w:highlight w:val="none"/>
        </w:rPr>
      </w:pP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single"/>
        </w:rPr>
        <w:t>362000</w:t>
      </w:r>
      <w:r>
        <w:rPr>
          <w:rFonts w:hint="eastAsia" w:ascii="仿宋" w:hAnsi="仿宋" w:eastAsia="仿宋" w:cs="仿宋"/>
          <w:color w:val="auto"/>
          <w:sz w:val="24"/>
          <w:szCs w:val="24"/>
          <w:highlight w:val="none"/>
        </w:rPr>
        <w:t xml:space="preserve">           </w:t>
      </w:r>
    </w:p>
    <w:p w14:paraId="3E44866D">
      <w:pPr>
        <w:pStyle w:val="3"/>
        <w:keepNext w:val="0"/>
        <w:keepLines w:val="0"/>
        <w:pageBreakBefore w:val="0"/>
        <w:widowControl w:val="0"/>
        <w:kinsoku/>
        <w:wordWrap/>
        <w:overflowPunct/>
        <w:topLinePunct w:val="0"/>
        <w:autoSpaceDE/>
        <w:autoSpaceDN/>
        <w:bidi w:val="0"/>
        <w:adjustRightInd w:val="0"/>
        <w:snapToGrid w:val="0"/>
        <w:spacing w:line="500" w:lineRule="atLeast"/>
        <w:ind w:left="0" w:leftChars="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lang w:val="en-US" w:eastAsia="zh-CN"/>
        </w:rPr>
        <w:t>18016758259</w:t>
      </w:r>
      <w:r>
        <w:rPr>
          <w:rFonts w:hint="eastAsia" w:ascii="仿宋" w:hAnsi="仿宋" w:eastAsia="仿宋" w:cs="仿宋"/>
          <w:color w:val="auto"/>
          <w:sz w:val="24"/>
          <w:szCs w:val="24"/>
          <w:highlight w:val="none"/>
        </w:rPr>
        <w:t xml:space="preserve">       </w:t>
      </w:r>
    </w:p>
    <w:p w14:paraId="2522E0B9">
      <w:pPr>
        <w:pStyle w:val="3"/>
        <w:keepNext w:val="0"/>
        <w:keepLines w:val="0"/>
        <w:pageBreakBefore w:val="0"/>
        <w:widowControl w:val="0"/>
        <w:kinsoku/>
        <w:wordWrap/>
        <w:overflowPunct/>
        <w:topLinePunct w:val="0"/>
        <w:autoSpaceDE/>
        <w:autoSpaceDN/>
        <w:bidi w:val="0"/>
        <w:adjustRightInd w:val="0"/>
        <w:snapToGrid w:val="0"/>
        <w:spacing w:line="500" w:lineRule="atLeast"/>
        <w:ind w:left="0" w:leftChars="0" w:firstLine="480" w:firstLineChars="200"/>
        <w:textAlignment w:val="baseline"/>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single"/>
          <w:lang w:eastAsia="zh-CN"/>
        </w:rPr>
        <w:t>小任</w:t>
      </w:r>
    </w:p>
    <w:p w14:paraId="517F6300">
      <w:pPr>
        <w:pStyle w:val="3"/>
        <w:keepNext w:val="0"/>
        <w:keepLines w:val="0"/>
        <w:pageBreakBefore w:val="0"/>
        <w:kinsoku/>
        <w:overflowPunct/>
        <w:topLinePunct w:val="0"/>
        <w:autoSpaceDE/>
        <w:autoSpaceDN/>
        <w:bidi w:val="0"/>
        <w:snapToGrid w:val="0"/>
        <w:spacing w:line="500" w:lineRule="atLeast"/>
        <w:ind w:firstLine="480" w:firstLineChars="200"/>
        <w:rPr>
          <w:rFonts w:hint="eastAsia" w:ascii="仿宋" w:hAnsi="仿宋" w:eastAsia="仿宋" w:cs="仿宋"/>
          <w:color w:val="auto"/>
          <w:sz w:val="24"/>
          <w:highlight w:val="none"/>
          <w:u w:val="single"/>
          <w:lang w:eastAsia="zh-CN"/>
        </w:rPr>
      </w:pPr>
    </w:p>
    <w:p w14:paraId="1E3F199F">
      <w:pPr>
        <w:keepNext w:val="0"/>
        <w:keepLines w:val="0"/>
        <w:pageBreakBefore w:val="0"/>
        <w:widowControl w:val="0"/>
        <w:kinsoku/>
        <w:wordWrap/>
        <w:overflowPunct/>
        <w:topLinePunct w:val="0"/>
        <w:autoSpaceDE/>
        <w:autoSpaceDN/>
        <w:bidi w:val="0"/>
        <w:adjustRightInd w:val="0"/>
        <w:snapToGrid/>
        <w:spacing w:line="500" w:lineRule="atLeast"/>
        <w:ind w:firstLine="480" w:firstLineChars="200"/>
        <w:textAlignment w:val="baseline"/>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公共资源电子交易平台名称：</w:t>
      </w:r>
      <w:r>
        <w:rPr>
          <w:rFonts w:hint="eastAsia" w:ascii="仿宋" w:hAnsi="仿宋" w:eastAsia="仿宋" w:cs="仿宋"/>
          <w:color w:val="auto"/>
          <w:sz w:val="24"/>
          <w:szCs w:val="24"/>
          <w:highlight w:val="none"/>
          <w:u w:val="single"/>
        </w:rPr>
        <w:t>易交易电子招标投标交易平台</w:t>
      </w:r>
    </w:p>
    <w:p w14:paraId="3DC7292E">
      <w:pPr>
        <w:keepNext w:val="0"/>
        <w:keepLines w:val="0"/>
        <w:pageBreakBefore w:val="0"/>
        <w:widowControl w:val="0"/>
        <w:kinsoku/>
        <w:wordWrap/>
        <w:overflowPunct/>
        <w:topLinePunct w:val="0"/>
        <w:autoSpaceDE/>
        <w:autoSpaceDN/>
        <w:bidi w:val="0"/>
        <w:adjustRightInd w:val="0"/>
        <w:snapToGrid/>
        <w:spacing w:line="500" w:lineRule="atLeas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网址：</w:t>
      </w:r>
      <w:r>
        <w:rPr>
          <w:rFonts w:hint="eastAsia" w:ascii="仿宋" w:hAnsi="仿宋" w:eastAsia="仿宋" w:cs="仿宋"/>
          <w:color w:val="auto"/>
          <w:sz w:val="24"/>
          <w:szCs w:val="24"/>
          <w:highlight w:val="none"/>
          <w:u w:val="single"/>
        </w:rPr>
        <w:t>https://</w:t>
      </w:r>
      <w:r>
        <w:rPr>
          <w:rFonts w:hint="eastAsia" w:ascii="仿宋" w:hAnsi="仿宋" w:eastAsia="仿宋" w:cs="仿宋"/>
          <w:color w:val="auto"/>
          <w:sz w:val="24"/>
          <w:szCs w:val="24"/>
          <w:highlight w:val="none"/>
          <w:u w:val="single"/>
        </w:rPr>
        <w:fldChar w:fldCharType="begin"/>
      </w:r>
      <w:r>
        <w:rPr>
          <w:rFonts w:hint="eastAsia" w:ascii="仿宋" w:hAnsi="仿宋" w:eastAsia="仿宋" w:cs="仿宋"/>
          <w:color w:val="auto"/>
          <w:sz w:val="24"/>
          <w:szCs w:val="24"/>
          <w:highlight w:val="none"/>
          <w:u w:val="single"/>
        </w:rPr>
        <w:instrText xml:space="preserve"> HYPERLINK "http://www.enjoy5191.com/" </w:instrText>
      </w:r>
      <w:r>
        <w:rPr>
          <w:rFonts w:hint="eastAsia" w:ascii="仿宋" w:hAnsi="仿宋" w:eastAsia="仿宋" w:cs="仿宋"/>
          <w:color w:val="auto"/>
          <w:sz w:val="24"/>
          <w:szCs w:val="24"/>
          <w:highlight w:val="none"/>
          <w:u w:val="single"/>
        </w:rPr>
        <w:fldChar w:fldCharType="separate"/>
      </w:r>
      <w:r>
        <w:rPr>
          <w:rStyle w:val="10"/>
          <w:rFonts w:hint="eastAsia" w:ascii="仿宋" w:hAnsi="仿宋" w:eastAsia="仿宋" w:cs="仿宋"/>
          <w:b w:val="0"/>
          <w:i w:val="0"/>
          <w:caps w:val="0"/>
          <w:color w:val="auto"/>
          <w:spacing w:val="0"/>
          <w:sz w:val="24"/>
          <w:szCs w:val="24"/>
          <w:highlight w:val="none"/>
          <w:u w:val="single"/>
          <w:shd w:val="clear" w:color="auto" w:fill="FFFFFF"/>
          <w:vertAlign w:val="baseline"/>
        </w:rPr>
        <w:t>www.enjoy5191.com/</w:t>
      </w:r>
      <w:r>
        <w:rPr>
          <w:rFonts w:hint="eastAsia" w:ascii="仿宋" w:hAnsi="仿宋" w:eastAsia="仿宋" w:cs="仿宋"/>
          <w:color w:val="auto"/>
          <w:sz w:val="24"/>
          <w:szCs w:val="24"/>
          <w:highlight w:val="none"/>
          <w:u w:val="single"/>
        </w:rPr>
        <w:fldChar w:fldCharType="end"/>
      </w:r>
    </w:p>
    <w:p w14:paraId="7E17F549">
      <w:pPr>
        <w:keepNext w:val="0"/>
        <w:keepLines w:val="0"/>
        <w:pageBreakBefore w:val="0"/>
        <w:widowControl w:val="0"/>
        <w:kinsoku/>
        <w:wordWrap/>
        <w:overflowPunct/>
        <w:topLinePunct w:val="0"/>
        <w:autoSpaceDE/>
        <w:autoSpaceDN/>
        <w:bidi w:val="0"/>
        <w:adjustRightInd w:val="0"/>
        <w:snapToGrid/>
        <w:spacing w:line="500" w:lineRule="atLeas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4008705191</w:t>
      </w:r>
    </w:p>
    <w:p w14:paraId="3DC5E516">
      <w:pPr>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福建省泉州市丰泽区华大街道体育街西辅路801号7楼随行易交易（泉州）公共资源交易平台</w:t>
      </w:r>
    </w:p>
    <w:p w14:paraId="1F365768">
      <w:pPr>
        <w:pStyle w:val="2"/>
        <w:keepNext w:val="0"/>
        <w:keepLines w:val="0"/>
        <w:widowControl/>
        <w:suppressLineNumbers w:val="0"/>
        <w:shd w:val="clear" w:fill="FFFFFF"/>
        <w:spacing w:before="300" w:beforeAutospacing="0" w:after="120" w:afterAutospacing="0" w:line="720" w:lineRule="atLeast"/>
        <w:ind w:left="0" w:firstLine="0"/>
        <w:jc w:val="center"/>
        <w:textAlignment w:val="baseline"/>
        <w:rPr>
          <w:rFonts w:hint="eastAsia" w:ascii="宋体" w:hAnsi="宋体" w:eastAsia="宋体" w:cs="宋体"/>
          <w:i w:val="0"/>
          <w:iCs w:val="0"/>
          <w:caps w:val="0"/>
          <w:color w:val="000000"/>
          <w:spacing w:val="0"/>
        </w:rPr>
      </w:pPr>
      <w:bookmarkStart w:id="4" w:name="_GoBack"/>
      <w:bookmarkEnd w:id="4"/>
    </w:p>
    <w:p w14:paraId="0EDD54BA">
      <w:pPr>
        <w:ind w:firstLine="480" w:firstLineChars="200"/>
        <w:rPr>
          <w:rFonts w:hint="eastAsia" w:ascii="仿宋" w:hAnsi="仿宋" w:eastAsia="仿宋" w:cs="仿宋"/>
          <w:color w:val="auto"/>
          <w:sz w:val="24"/>
          <w:szCs w:val="24"/>
          <w:highlight w:val="none"/>
          <w:u w:val="singl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510"/>
        </w:tabs>
        <w:ind w:left="0" w:firstLine="510"/>
      </w:pPr>
      <w:rPr>
        <w:rFonts w:hint="eastAsia"/>
        <w:i w:val="0"/>
        <w:sz w:val="24"/>
      </w:rPr>
    </w:lvl>
    <w:lvl w:ilvl="1" w:tentative="0">
      <w:start w:val="1"/>
      <w:numFmt w:val="decimal"/>
      <w:lvlText w:val="%1.%2."/>
      <w:lvlJc w:val="left"/>
      <w:pPr>
        <w:tabs>
          <w:tab w:val="left" w:pos="510"/>
        </w:tabs>
        <w:ind w:left="0" w:firstLine="510"/>
      </w:pPr>
      <w:rPr>
        <w:rFonts w:hint="eastAsia" w:ascii="宋体" w:hAnsi="宋体" w:eastAsia="宋体"/>
        <w:i w:val="0"/>
      </w:rPr>
    </w:lvl>
    <w:lvl w:ilvl="2" w:tentative="0">
      <w:start w:val="1"/>
      <w:numFmt w:val="decimal"/>
      <w:lvlText w:val="%1.%2.%3."/>
      <w:lvlJc w:val="left"/>
      <w:pPr>
        <w:tabs>
          <w:tab w:val="left" w:pos="510"/>
        </w:tabs>
        <w:ind w:left="0" w:firstLine="510"/>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zMWUyYjJhNmYxNjM2ODljM2RhZGM0Yjk5MWE1MTUifQ=="/>
  </w:docVars>
  <w:rsids>
    <w:rsidRoot w:val="43A30784"/>
    <w:rsid w:val="07446DE0"/>
    <w:rsid w:val="1B66559A"/>
    <w:rsid w:val="2A5E332F"/>
    <w:rsid w:val="3B633BF5"/>
    <w:rsid w:val="41460001"/>
    <w:rsid w:val="43A30784"/>
    <w:rsid w:val="66825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仿宋_GB2312" w:cs="Times New Roman"/>
      <w:lang w:val="en-US" w:eastAsia="zh-CN" w:bidi="ar-SA"/>
    </w:rPr>
  </w:style>
  <w:style w:type="paragraph" w:styleId="2">
    <w:name w:val="heading 1"/>
    <w:basedOn w:val="1"/>
    <w:next w:val="1"/>
    <w:qFormat/>
    <w:uiPriority w:val="0"/>
    <w:pPr>
      <w:keepNext/>
      <w:keepLines/>
      <w:tabs>
        <w:tab w:val="left" w:pos="1440"/>
      </w:tabs>
      <w:spacing w:before="340" w:beforeLines="0" w:after="330" w:afterLines="0" w:line="578" w:lineRule="atLeast"/>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ind w:firstLine="420"/>
    </w:pPr>
    <w:rPr>
      <w:kern w:val="2"/>
      <w:sz w:val="21"/>
    </w:rPr>
  </w:style>
  <w:style w:type="paragraph" w:styleId="4">
    <w:name w:val="header"/>
    <w:basedOn w:val="1"/>
    <w:qFormat/>
    <w:uiPriority w:val="0"/>
    <w:pPr>
      <w:pBdr>
        <w:bottom w:val="single" w:color="auto" w:sz="6" w:space="1"/>
      </w:pBdr>
      <w:tabs>
        <w:tab w:val="center" w:pos="4153"/>
        <w:tab w:val="right" w:pos="8306"/>
      </w:tabs>
      <w:adjustRightInd w:val="0"/>
      <w:snapToGrid w:val="0"/>
      <w:jc w:val="center"/>
    </w:pPr>
    <w:rPr>
      <w:kern w:val="2"/>
      <w:sz w:val="21"/>
    </w:rPr>
  </w:style>
  <w:style w:type="paragraph" w:styleId="5">
    <w:name w:val="Body Text Indent"/>
    <w:basedOn w:val="1"/>
    <w:next w:val="1"/>
    <w:qFormat/>
    <w:uiPriority w:val="0"/>
    <w:pPr>
      <w:widowControl/>
      <w:tabs>
        <w:tab w:val="left" w:pos="0"/>
        <w:tab w:val="left" w:pos="993"/>
        <w:tab w:val="left" w:pos="1134"/>
      </w:tabs>
      <w:adjustRightInd/>
      <w:spacing w:line="500" w:lineRule="exact"/>
      <w:ind w:firstLine="567"/>
      <w:textAlignment w:val="auto"/>
    </w:pPr>
    <w:rPr>
      <w:rFonts w:ascii="宋体"/>
      <w:sz w:val="28"/>
    </w:rPr>
  </w:style>
  <w:style w:type="paragraph" w:styleId="6">
    <w:name w:val="Plain Text"/>
    <w:basedOn w:val="1"/>
    <w:qFormat/>
    <w:uiPriority w:val="0"/>
    <w:pPr>
      <w:widowControl w:val="0"/>
      <w:adjustRightInd w:val="0"/>
      <w:spacing w:line="360" w:lineRule="atLeast"/>
      <w:jc w:val="both"/>
      <w:textAlignment w:val="baseline"/>
    </w:pPr>
    <w:rPr>
      <w:rFonts w:ascii="宋体"/>
      <w:kern w:val="2"/>
      <w:sz w:val="21"/>
      <w:lang w:val="en-US" w:eastAsia="zh-CN" w:bidi="ar-SA"/>
    </w:rPr>
  </w:style>
  <w:style w:type="paragraph" w:styleId="7">
    <w:name w:val="Body Text First Indent 2"/>
    <w:basedOn w:val="5"/>
    <w:next w:val="1"/>
    <w:qFormat/>
    <w:uiPriority w:val="0"/>
    <w:pPr>
      <w:spacing w:line="360" w:lineRule="auto"/>
      <w:ind w:firstLine="420" w:firstLineChars="200"/>
    </w:pPr>
    <w:rPr>
      <w:rFonts w:hAnsi="宋体" w:cs="宋体"/>
      <w:szCs w:val="28"/>
    </w:rPr>
  </w:style>
  <w:style w:type="character" w:styleId="10">
    <w:name w:val="Hyperlink"/>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2915</Words>
  <Characters>3285</Characters>
  <Lines>0</Lines>
  <Paragraphs>0</Paragraphs>
  <TotalTime>66</TotalTime>
  <ScaleCrop>false</ScaleCrop>
  <LinksUpToDate>false</LinksUpToDate>
  <CharactersWithSpaces>3432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2022-04-25T03:56:00Z</dcterms:created>
  <dc:creator>静瑜</dc:creator>
  <cp:lastModifiedBy>闲云</cp:lastModifiedBy>
  <dcterms:modified xsi:type="dcterms:W3CDTF">2025-09-23T03:08:12Z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BEF008C6C14F42469BFF55F07D90B3DC_13</vt:lpwstr>
  </property>
  <property fmtid="{D5CDD505-2E9C-101B-9397-08002B2CF9AE}" pid="4" name="KSOTemplateDocerSaveRecord">
    <vt:lpwstr>eyJoZGlkIjoiMmRkMWY4ZDU4YjNjOGE5MjM2YjBiNmQ3OGUyNjU4MzkiLCJ1c2VySWQiOiI1NjcyMzk2NzcifQ==</vt:lpwstr>
  </property>
</Properties>
</file>