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B1CB0">
      <w:pPr>
        <w:bidi w:val="0"/>
        <w:spacing w:line="240" w:lineRule="auto"/>
        <w:ind w:firstLine="0" w:firstLineChars="0"/>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附件2</w:t>
      </w:r>
    </w:p>
    <w:p w14:paraId="084EC8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Theme="majorEastAsia" w:hAnsiTheme="majorEastAsia" w:eastAsiaTheme="majorEastAsia" w:cstheme="majorEastAsia"/>
          <w:b/>
          <w:bCs/>
          <w:sz w:val="44"/>
          <w:lang w:val="en-US" w:eastAsia="zh-CN"/>
        </w:rPr>
      </w:pPr>
      <w:r>
        <w:rPr>
          <w:rFonts w:hint="eastAsia" w:asciiTheme="majorEastAsia" w:hAnsiTheme="majorEastAsia" w:eastAsiaTheme="majorEastAsia" w:cstheme="majorEastAsia"/>
          <w:b/>
          <w:bCs/>
          <w:sz w:val="44"/>
          <w:lang w:val="en-US" w:eastAsia="zh-CN"/>
        </w:rPr>
        <w:t>中介机构备选入库需求和基本要求表</w:t>
      </w:r>
    </w:p>
    <w:p w14:paraId="301E96B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宋体" w:cs="仿宋_GB2312"/>
          <w:sz w:val="28"/>
          <w:szCs w:val="28"/>
          <w:lang w:val="en-US" w:eastAsia="zh-CN"/>
        </w:rPr>
      </w:pPr>
    </w:p>
    <w:tbl>
      <w:tblPr>
        <w:tblStyle w:val="2"/>
        <w:tblW w:w="5077" w:type="pct"/>
        <w:tblInd w:w="126" w:type="dxa"/>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Layout w:type="fixed"/>
        <w:tblCellMar>
          <w:top w:w="0" w:type="dxa"/>
          <w:left w:w="108" w:type="dxa"/>
          <w:bottom w:w="0" w:type="dxa"/>
          <w:right w:w="108" w:type="dxa"/>
        </w:tblCellMar>
      </w:tblPr>
      <w:tblGrid>
        <w:gridCol w:w="722"/>
        <w:gridCol w:w="1146"/>
        <w:gridCol w:w="1936"/>
        <w:gridCol w:w="2359"/>
        <w:gridCol w:w="968"/>
        <w:gridCol w:w="914"/>
        <w:gridCol w:w="2440"/>
        <w:gridCol w:w="2289"/>
        <w:gridCol w:w="1620"/>
      </w:tblGrid>
      <w:tr w14:paraId="5EFCAF2B">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0" w:type="dxa"/>
            <w:left w:w="108" w:type="dxa"/>
            <w:bottom w:w="0" w:type="dxa"/>
            <w:right w:w="108" w:type="dxa"/>
          </w:tblCellMar>
        </w:tblPrEx>
        <w:trPr>
          <w:trHeight w:val="1181" w:hRule="atLeast"/>
        </w:trPr>
        <w:tc>
          <w:tcPr>
            <w:tcW w:w="250" w:type="pct"/>
            <w:tcBorders>
              <w:bottom w:val="single" w:color="000000" w:sz="4" w:space="0"/>
            </w:tcBorders>
            <w:shd w:val="clear" w:color="auto" w:fill="auto"/>
            <w:vAlign w:val="center"/>
          </w:tcPr>
          <w:p w14:paraId="70FC0152">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序号</w:t>
            </w:r>
          </w:p>
        </w:tc>
        <w:tc>
          <w:tcPr>
            <w:tcW w:w="398" w:type="pct"/>
            <w:tcBorders>
              <w:bottom w:val="single" w:color="000000" w:sz="4" w:space="0"/>
            </w:tcBorders>
            <w:shd w:val="clear" w:color="auto" w:fill="auto"/>
            <w:vAlign w:val="center"/>
          </w:tcPr>
          <w:p w14:paraId="78DFCB9D">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中介类别</w:t>
            </w:r>
          </w:p>
        </w:tc>
        <w:tc>
          <w:tcPr>
            <w:tcW w:w="672" w:type="pct"/>
            <w:tcBorders>
              <w:bottom w:val="single" w:color="000000" w:sz="4" w:space="0"/>
            </w:tcBorders>
            <w:shd w:val="clear" w:color="auto" w:fill="auto"/>
            <w:vAlign w:val="center"/>
          </w:tcPr>
          <w:p w14:paraId="216D0375">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服务内容</w:t>
            </w:r>
          </w:p>
        </w:tc>
        <w:tc>
          <w:tcPr>
            <w:tcW w:w="819" w:type="pct"/>
            <w:tcBorders>
              <w:bottom w:val="single" w:color="000000" w:sz="4" w:space="0"/>
            </w:tcBorders>
            <w:shd w:val="clear" w:color="auto" w:fill="auto"/>
            <w:vAlign w:val="center"/>
          </w:tcPr>
          <w:p w14:paraId="01FD6883">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资质、资格要求</w:t>
            </w:r>
          </w:p>
        </w:tc>
        <w:tc>
          <w:tcPr>
            <w:tcW w:w="336" w:type="pct"/>
            <w:tcBorders>
              <w:bottom w:val="single" w:color="000000" w:sz="4" w:space="0"/>
            </w:tcBorders>
            <w:shd w:val="clear" w:color="auto" w:fill="auto"/>
            <w:vAlign w:val="center"/>
          </w:tcPr>
          <w:p w14:paraId="4A3FF4E1">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需求数量(家)</w:t>
            </w:r>
          </w:p>
        </w:tc>
        <w:tc>
          <w:tcPr>
            <w:tcW w:w="317" w:type="pct"/>
            <w:tcBorders>
              <w:bottom w:val="single" w:color="000000" w:sz="4" w:space="0"/>
            </w:tcBorders>
            <w:shd w:val="clear" w:color="auto" w:fill="auto"/>
            <w:vAlign w:val="center"/>
          </w:tcPr>
          <w:p w14:paraId="0A6D177C">
            <w:pPr>
              <w:bidi w:val="0"/>
              <w:spacing w:line="440" w:lineRule="exact"/>
              <w:ind w:firstLine="0" w:firstLineChars="0"/>
              <w:jc w:val="center"/>
              <w:rPr>
                <w:rFonts w:hint="default" w:eastAsia="宋体"/>
                <w:sz w:val="21"/>
                <w:szCs w:val="21"/>
                <w:lang w:val="en-US"/>
              </w:rPr>
            </w:pPr>
            <w:r>
              <w:rPr>
                <w:rFonts w:hint="eastAsia" w:eastAsia="宋体"/>
                <w:sz w:val="21"/>
                <w:szCs w:val="21"/>
                <w:lang w:val="en-US" w:eastAsia="zh-CN"/>
              </w:rPr>
              <w:t>本次补充(家)</w:t>
            </w:r>
          </w:p>
        </w:tc>
        <w:tc>
          <w:tcPr>
            <w:tcW w:w="847" w:type="pct"/>
            <w:tcBorders>
              <w:bottom w:val="single" w:color="000000" w:sz="4" w:space="0"/>
            </w:tcBorders>
            <w:shd w:val="clear" w:color="auto" w:fill="auto"/>
            <w:vAlign w:val="center"/>
          </w:tcPr>
          <w:p w14:paraId="0A9922C1">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人员基本要求</w:t>
            </w:r>
            <w:r>
              <w:rPr>
                <w:rFonts w:hint="eastAsia" w:eastAsia="宋体"/>
                <w:sz w:val="21"/>
                <w:szCs w:val="21"/>
                <w:lang w:val="en-US" w:eastAsia="zh-CN"/>
              </w:rPr>
              <w:br w:type="textWrapping"/>
            </w:r>
            <w:r>
              <w:rPr>
                <w:rFonts w:hint="eastAsia" w:eastAsia="宋体"/>
                <w:sz w:val="21"/>
                <w:szCs w:val="21"/>
                <w:lang w:val="en-US" w:eastAsia="zh-CN"/>
              </w:rPr>
              <w:t>（自有人员）</w:t>
            </w:r>
          </w:p>
        </w:tc>
        <w:tc>
          <w:tcPr>
            <w:tcW w:w="795" w:type="pct"/>
            <w:tcBorders>
              <w:bottom w:val="single" w:color="000000" w:sz="4" w:space="0"/>
            </w:tcBorders>
            <w:shd w:val="clear" w:color="auto" w:fill="auto"/>
            <w:vAlign w:val="center"/>
          </w:tcPr>
          <w:p w14:paraId="23ACE8D7">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业绩基本要求</w:t>
            </w:r>
          </w:p>
        </w:tc>
        <w:tc>
          <w:tcPr>
            <w:tcW w:w="562" w:type="pct"/>
            <w:tcBorders>
              <w:bottom w:val="single" w:color="000000" w:sz="4" w:space="0"/>
            </w:tcBorders>
            <w:shd w:val="clear" w:color="auto" w:fill="auto"/>
            <w:vAlign w:val="center"/>
          </w:tcPr>
          <w:p w14:paraId="4D0E8BE5">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备注</w:t>
            </w:r>
          </w:p>
        </w:tc>
      </w:tr>
      <w:tr w14:paraId="3F0A4B36">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0" w:type="dxa"/>
            <w:left w:w="108" w:type="dxa"/>
            <w:bottom w:w="0" w:type="dxa"/>
            <w:right w:w="108" w:type="dxa"/>
          </w:tblCellMar>
        </w:tblPrEx>
        <w:trPr>
          <w:trHeight w:val="5200" w:hRule="atLeast"/>
        </w:trPr>
        <w:tc>
          <w:tcPr>
            <w:tcW w:w="250" w:type="pct"/>
            <w:tcBorders>
              <w:top w:val="single" w:color="000000" w:sz="4" w:space="0"/>
              <w:bottom w:val="single" w:color="000000" w:sz="4" w:space="0"/>
              <w:tl2br w:val="nil"/>
              <w:tr2bl w:val="nil"/>
            </w:tcBorders>
            <w:shd w:val="clear" w:color="auto" w:fill="auto"/>
            <w:vAlign w:val="center"/>
          </w:tcPr>
          <w:p w14:paraId="18FA5683">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1</w:t>
            </w:r>
          </w:p>
        </w:tc>
        <w:tc>
          <w:tcPr>
            <w:tcW w:w="398" w:type="pct"/>
            <w:tcBorders>
              <w:top w:val="single" w:color="000000" w:sz="4" w:space="0"/>
              <w:bottom w:val="single" w:color="000000" w:sz="4" w:space="0"/>
              <w:tl2br w:val="nil"/>
              <w:tr2bl w:val="nil"/>
            </w:tcBorders>
            <w:shd w:val="clear" w:color="auto" w:fill="auto"/>
            <w:vAlign w:val="center"/>
          </w:tcPr>
          <w:p w14:paraId="6E67870A">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招标采购代理</w:t>
            </w:r>
          </w:p>
        </w:tc>
        <w:tc>
          <w:tcPr>
            <w:tcW w:w="672" w:type="pct"/>
            <w:tcBorders>
              <w:top w:val="single" w:color="000000" w:sz="4" w:space="0"/>
              <w:bottom w:val="single" w:color="000000" w:sz="4" w:space="0"/>
              <w:tl2br w:val="nil"/>
              <w:tr2bl w:val="nil"/>
            </w:tcBorders>
            <w:shd w:val="clear" w:color="auto" w:fill="auto"/>
            <w:vAlign w:val="center"/>
          </w:tcPr>
          <w:p w14:paraId="6CAE463C">
            <w:pPr>
              <w:bidi w:val="0"/>
              <w:spacing w:line="440" w:lineRule="exact"/>
              <w:ind w:firstLine="0" w:firstLineChars="0"/>
              <w:rPr>
                <w:rFonts w:hint="eastAsia" w:eastAsia="宋体"/>
                <w:sz w:val="21"/>
                <w:szCs w:val="21"/>
              </w:rPr>
            </w:pPr>
            <w:r>
              <w:rPr>
                <w:rFonts w:hint="eastAsia" w:eastAsia="宋体"/>
                <w:sz w:val="21"/>
                <w:szCs w:val="21"/>
                <w:lang w:val="en-US" w:eastAsia="zh-CN"/>
              </w:rPr>
              <w:t>编制采购招标文件，组织采购招投标活动及配合办理有关审批、备案手续。</w:t>
            </w:r>
          </w:p>
        </w:tc>
        <w:tc>
          <w:tcPr>
            <w:tcW w:w="819" w:type="pct"/>
            <w:tcBorders>
              <w:top w:val="single" w:color="000000" w:sz="4" w:space="0"/>
              <w:bottom w:val="single" w:color="000000" w:sz="4" w:space="0"/>
              <w:tl2br w:val="nil"/>
              <w:tr2bl w:val="nil"/>
            </w:tcBorders>
            <w:shd w:val="clear" w:color="auto" w:fill="auto"/>
            <w:vAlign w:val="center"/>
          </w:tcPr>
          <w:p w14:paraId="461B85F7">
            <w:pPr>
              <w:bidi w:val="0"/>
              <w:spacing w:line="440" w:lineRule="exact"/>
              <w:ind w:firstLine="0" w:firstLineChars="0"/>
              <w:rPr>
                <w:rFonts w:hint="eastAsia" w:eastAsia="宋体"/>
                <w:sz w:val="21"/>
                <w:szCs w:val="21"/>
                <w:lang w:val="en-US" w:eastAsia="zh-CN"/>
              </w:rPr>
            </w:pPr>
            <w:r>
              <w:rPr>
                <w:rFonts w:hint="eastAsia" w:eastAsia="宋体"/>
                <w:sz w:val="21"/>
                <w:szCs w:val="21"/>
                <w:lang w:val="en-US" w:eastAsia="zh-CN"/>
              </w:rPr>
              <w:t>有关信息可于</w:t>
            </w:r>
            <w:r>
              <w:rPr>
                <w:rFonts w:hint="eastAsia" w:eastAsia="宋体"/>
                <w:sz w:val="21"/>
                <w:szCs w:val="21"/>
                <w:lang w:val="en-US" w:eastAsia="zh-CN"/>
              </w:rPr>
              <w:fldChar w:fldCharType="begin"/>
            </w:r>
            <w:r>
              <w:rPr>
                <w:rFonts w:hint="eastAsia" w:eastAsia="宋体"/>
                <w:sz w:val="21"/>
                <w:szCs w:val="21"/>
                <w:lang w:val="en-US" w:eastAsia="zh-CN"/>
              </w:rPr>
              <w:instrText xml:space="preserve"> HYPERLINK "https://220.160.52.164:8813/gaia/infoPublic/index.html" \l "/dashboard" </w:instrText>
            </w:r>
            <w:r>
              <w:rPr>
                <w:rFonts w:hint="eastAsia" w:eastAsia="宋体"/>
                <w:sz w:val="21"/>
                <w:szCs w:val="21"/>
                <w:lang w:val="en-US" w:eastAsia="zh-CN"/>
              </w:rPr>
              <w:fldChar w:fldCharType="separate"/>
            </w:r>
            <w:r>
              <w:rPr>
                <w:rFonts w:hint="eastAsia" w:eastAsia="宋体"/>
                <w:sz w:val="21"/>
                <w:szCs w:val="21"/>
                <w:lang w:val="en-US" w:eastAsia="zh-CN"/>
              </w:rPr>
              <w:t>福建省建设行业信息公开平台</w:t>
            </w:r>
            <w:r>
              <w:rPr>
                <w:rFonts w:hint="eastAsia" w:eastAsia="宋体"/>
                <w:sz w:val="21"/>
                <w:szCs w:val="21"/>
                <w:lang w:val="en-US" w:eastAsia="zh-CN"/>
              </w:rPr>
              <w:fldChar w:fldCharType="end"/>
            </w:r>
          </w:p>
          <w:p w14:paraId="1BF60663">
            <w:pPr>
              <w:bidi w:val="0"/>
              <w:spacing w:line="440" w:lineRule="exact"/>
              <w:ind w:firstLine="0" w:firstLineChars="0"/>
              <w:rPr>
                <w:rFonts w:hint="eastAsia" w:eastAsia="宋体"/>
                <w:sz w:val="21"/>
                <w:szCs w:val="21"/>
                <w:lang w:val="en-US" w:eastAsia="zh-CN"/>
              </w:rPr>
            </w:pPr>
            <w:r>
              <w:rPr>
                <w:rFonts w:hint="eastAsia" w:eastAsia="宋体"/>
                <w:sz w:val="21"/>
                <w:szCs w:val="21"/>
                <w:lang w:val="en-US" w:eastAsia="zh-CN"/>
              </w:rPr>
              <w:t>（https://220.160.52.164:8813/gaia/infoPublic/index.html#/dashboard）</w:t>
            </w:r>
          </w:p>
          <w:p w14:paraId="70BC78F8">
            <w:pPr>
              <w:bidi w:val="0"/>
              <w:spacing w:line="440" w:lineRule="exact"/>
              <w:ind w:firstLine="0" w:firstLineChars="0"/>
              <w:rPr>
                <w:rFonts w:hint="eastAsia" w:eastAsia="宋体"/>
                <w:sz w:val="21"/>
                <w:szCs w:val="21"/>
              </w:rPr>
            </w:pPr>
            <w:r>
              <w:rPr>
                <w:rFonts w:hint="eastAsia" w:eastAsia="宋体"/>
                <w:sz w:val="21"/>
                <w:szCs w:val="21"/>
                <w:lang w:val="en-US" w:eastAsia="zh-CN"/>
              </w:rPr>
              <w:t>招标代理查询。</w:t>
            </w:r>
          </w:p>
        </w:tc>
        <w:tc>
          <w:tcPr>
            <w:tcW w:w="336" w:type="pct"/>
            <w:tcBorders>
              <w:top w:val="single" w:color="000000" w:sz="4" w:space="0"/>
              <w:bottom w:val="single" w:color="000000" w:sz="4" w:space="0"/>
              <w:tl2br w:val="nil"/>
              <w:tr2bl w:val="nil"/>
            </w:tcBorders>
            <w:shd w:val="clear" w:color="auto" w:fill="auto"/>
            <w:vAlign w:val="center"/>
          </w:tcPr>
          <w:p w14:paraId="76A1617D">
            <w:pPr>
              <w:bidi w:val="0"/>
              <w:spacing w:line="440" w:lineRule="exact"/>
              <w:ind w:firstLine="0" w:firstLineChars="0"/>
              <w:jc w:val="center"/>
              <w:rPr>
                <w:rFonts w:hint="default" w:eastAsia="宋体"/>
                <w:sz w:val="21"/>
                <w:szCs w:val="21"/>
                <w:lang w:val="en-US"/>
              </w:rPr>
            </w:pPr>
            <w:r>
              <w:rPr>
                <w:rFonts w:hint="eastAsia" w:eastAsia="宋体"/>
                <w:sz w:val="21"/>
                <w:szCs w:val="21"/>
                <w:lang w:val="en-US" w:eastAsia="zh-CN"/>
              </w:rPr>
              <w:t>10</w:t>
            </w:r>
          </w:p>
        </w:tc>
        <w:tc>
          <w:tcPr>
            <w:tcW w:w="317" w:type="pct"/>
            <w:tcBorders>
              <w:top w:val="single" w:color="000000" w:sz="4" w:space="0"/>
              <w:bottom w:val="single" w:color="000000" w:sz="4" w:space="0"/>
              <w:tl2br w:val="nil"/>
              <w:tr2bl w:val="nil"/>
            </w:tcBorders>
            <w:shd w:val="clear" w:color="auto" w:fill="auto"/>
            <w:vAlign w:val="center"/>
          </w:tcPr>
          <w:p w14:paraId="5E0A7939">
            <w:pPr>
              <w:bidi w:val="0"/>
              <w:spacing w:line="440" w:lineRule="exact"/>
              <w:ind w:firstLine="0" w:firstLineChars="0"/>
              <w:jc w:val="center"/>
              <w:rPr>
                <w:rFonts w:hint="default" w:eastAsia="宋体"/>
                <w:sz w:val="21"/>
                <w:szCs w:val="21"/>
                <w:lang w:val="en-US"/>
              </w:rPr>
            </w:pPr>
            <w:r>
              <w:rPr>
                <w:rFonts w:hint="eastAsia" w:eastAsia="宋体"/>
                <w:sz w:val="21"/>
                <w:szCs w:val="21"/>
                <w:lang w:val="en-US" w:eastAsia="zh-CN"/>
              </w:rPr>
              <w:t>10</w:t>
            </w:r>
          </w:p>
        </w:tc>
        <w:tc>
          <w:tcPr>
            <w:tcW w:w="847" w:type="pct"/>
            <w:tcBorders>
              <w:top w:val="single" w:color="000000" w:sz="4" w:space="0"/>
              <w:bottom w:val="single" w:color="000000" w:sz="4" w:space="0"/>
              <w:tl2br w:val="nil"/>
              <w:tr2bl w:val="nil"/>
            </w:tcBorders>
            <w:shd w:val="clear" w:color="auto" w:fill="auto"/>
            <w:vAlign w:val="center"/>
          </w:tcPr>
          <w:p w14:paraId="7A0AF51E">
            <w:pPr>
              <w:bidi w:val="0"/>
              <w:spacing w:line="440" w:lineRule="exact"/>
              <w:ind w:firstLine="0" w:firstLineChars="0"/>
              <w:rPr>
                <w:rFonts w:hint="eastAsia" w:eastAsia="宋体"/>
                <w:sz w:val="21"/>
                <w:szCs w:val="21"/>
              </w:rPr>
            </w:pPr>
            <w:r>
              <w:rPr>
                <w:rFonts w:hint="eastAsia" w:eastAsia="宋体"/>
                <w:sz w:val="21"/>
                <w:szCs w:val="21"/>
                <w:lang w:val="en-US" w:eastAsia="zh-CN"/>
              </w:rPr>
              <w:t>拥有不少于10名熟悉政府采购法律法规、具备编制采购文件和组织采购活动等相应能力的专职从业人员，其中具有中级及以上技术职称或二级及以上执业资格的不得少于2人。（提供有关证书复印件）</w:t>
            </w:r>
          </w:p>
        </w:tc>
        <w:tc>
          <w:tcPr>
            <w:tcW w:w="795" w:type="pct"/>
            <w:tcBorders>
              <w:top w:val="single" w:color="000000" w:sz="4" w:space="0"/>
              <w:bottom w:val="single" w:color="000000" w:sz="4" w:space="0"/>
              <w:tl2br w:val="nil"/>
              <w:tr2bl w:val="nil"/>
            </w:tcBorders>
            <w:shd w:val="clear" w:color="auto" w:fill="auto"/>
            <w:vAlign w:val="center"/>
          </w:tcPr>
          <w:p w14:paraId="67CAA146">
            <w:pPr>
              <w:bidi w:val="0"/>
              <w:spacing w:line="440" w:lineRule="exact"/>
              <w:ind w:firstLine="0" w:firstLineChars="0"/>
              <w:rPr>
                <w:rFonts w:hint="eastAsia" w:eastAsia="宋体"/>
                <w:sz w:val="21"/>
                <w:szCs w:val="21"/>
              </w:rPr>
            </w:pPr>
            <w:r>
              <w:rPr>
                <w:rFonts w:hint="eastAsia" w:eastAsia="宋体"/>
                <w:sz w:val="21"/>
                <w:szCs w:val="21"/>
                <w:lang w:val="en-US" w:eastAsia="zh-CN"/>
              </w:rPr>
              <w:t>近5年来至少独立完成过8个招标额400万元（含）以上的项目的招标采购代理服务。（提供代理合同复印件、所代理项目中标结果公示网页截屏）</w:t>
            </w:r>
          </w:p>
        </w:tc>
        <w:tc>
          <w:tcPr>
            <w:tcW w:w="562" w:type="pct"/>
            <w:tcBorders>
              <w:top w:val="single" w:color="000000" w:sz="4" w:space="0"/>
              <w:bottom w:val="single" w:color="000000" w:sz="4" w:space="0"/>
              <w:tl2br w:val="nil"/>
              <w:tr2bl w:val="nil"/>
            </w:tcBorders>
            <w:shd w:val="clear" w:color="auto" w:fill="auto"/>
            <w:vAlign w:val="center"/>
          </w:tcPr>
          <w:p w14:paraId="433268CF">
            <w:pPr>
              <w:bidi w:val="0"/>
              <w:spacing w:line="440" w:lineRule="exact"/>
              <w:ind w:firstLine="0" w:firstLineChars="0"/>
              <w:rPr>
                <w:rFonts w:hint="eastAsia" w:eastAsia="宋体"/>
                <w:sz w:val="21"/>
                <w:szCs w:val="21"/>
              </w:rPr>
            </w:pPr>
          </w:p>
        </w:tc>
      </w:tr>
      <w:tr w14:paraId="642C44B9">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0" w:type="dxa"/>
            <w:left w:w="108" w:type="dxa"/>
            <w:bottom w:w="0" w:type="dxa"/>
            <w:right w:w="108" w:type="dxa"/>
          </w:tblCellMar>
        </w:tblPrEx>
        <w:trPr>
          <w:trHeight w:val="4602" w:hRule="atLeast"/>
        </w:trPr>
        <w:tc>
          <w:tcPr>
            <w:tcW w:w="250" w:type="pct"/>
            <w:tcBorders>
              <w:top w:val="single" w:color="000000" w:sz="4" w:space="0"/>
              <w:bottom w:val="single" w:color="000000" w:sz="4" w:space="0"/>
            </w:tcBorders>
            <w:shd w:val="clear" w:color="auto" w:fill="auto"/>
            <w:vAlign w:val="center"/>
          </w:tcPr>
          <w:p w14:paraId="05054706">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2</w:t>
            </w:r>
          </w:p>
        </w:tc>
        <w:tc>
          <w:tcPr>
            <w:tcW w:w="398" w:type="pct"/>
            <w:tcBorders>
              <w:top w:val="single" w:color="000000" w:sz="4" w:space="0"/>
              <w:bottom w:val="single" w:color="000000" w:sz="4" w:space="0"/>
            </w:tcBorders>
            <w:shd w:val="clear" w:color="auto" w:fill="auto"/>
            <w:vAlign w:val="center"/>
          </w:tcPr>
          <w:p w14:paraId="3E263A36">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造价咨询</w:t>
            </w:r>
          </w:p>
        </w:tc>
        <w:tc>
          <w:tcPr>
            <w:tcW w:w="672" w:type="pct"/>
            <w:tcBorders>
              <w:top w:val="single" w:color="000000" w:sz="4" w:space="0"/>
              <w:bottom w:val="single" w:color="000000" w:sz="4" w:space="0"/>
            </w:tcBorders>
            <w:shd w:val="clear" w:color="auto" w:fill="auto"/>
            <w:vAlign w:val="center"/>
          </w:tcPr>
          <w:p w14:paraId="307D53D6">
            <w:pPr>
              <w:bidi w:val="0"/>
              <w:spacing w:line="440" w:lineRule="exact"/>
              <w:ind w:firstLine="0" w:firstLineChars="0"/>
              <w:rPr>
                <w:rFonts w:hint="eastAsia" w:eastAsia="宋体"/>
                <w:sz w:val="21"/>
                <w:szCs w:val="21"/>
              </w:rPr>
            </w:pPr>
            <w:r>
              <w:rPr>
                <w:rFonts w:hint="eastAsia" w:eastAsia="宋体"/>
                <w:sz w:val="21"/>
                <w:szCs w:val="21"/>
                <w:lang w:val="en-US" w:eastAsia="zh-CN"/>
              </w:rPr>
              <w:t>提供造价咨询服务，包括但不限于：项目招标固化清单编制、最高控制价编制、工程量清单核对、设计变更预算编制、结算审核及配合有关造价评审会议。</w:t>
            </w:r>
          </w:p>
        </w:tc>
        <w:tc>
          <w:tcPr>
            <w:tcW w:w="819" w:type="pct"/>
            <w:tcBorders>
              <w:top w:val="single" w:color="000000" w:sz="4" w:space="0"/>
              <w:bottom w:val="single" w:color="000000" w:sz="4" w:space="0"/>
            </w:tcBorders>
            <w:shd w:val="clear" w:color="auto" w:fill="auto"/>
            <w:vAlign w:val="center"/>
          </w:tcPr>
          <w:p w14:paraId="65ED612B">
            <w:pPr>
              <w:bidi w:val="0"/>
              <w:spacing w:line="440" w:lineRule="exact"/>
              <w:ind w:firstLine="0" w:firstLineChars="0"/>
              <w:rPr>
                <w:rFonts w:hint="eastAsia" w:eastAsia="宋体"/>
                <w:sz w:val="21"/>
                <w:szCs w:val="21"/>
                <w:lang w:val="en-US" w:eastAsia="zh-CN"/>
              </w:rPr>
            </w:pPr>
            <w:r>
              <w:rPr>
                <w:rFonts w:hint="eastAsia" w:eastAsia="宋体"/>
                <w:sz w:val="21"/>
                <w:szCs w:val="21"/>
                <w:lang w:val="en-US" w:eastAsia="zh-CN"/>
              </w:rPr>
              <w:t>有关信息可于</w:t>
            </w:r>
            <w:r>
              <w:rPr>
                <w:rFonts w:hint="eastAsia" w:eastAsia="宋体"/>
                <w:sz w:val="21"/>
                <w:szCs w:val="21"/>
                <w:lang w:val="en-US" w:eastAsia="zh-CN"/>
              </w:rPr>
              <w:fldChar w:fldCharType="begin"/>
            </w:r>
            <w:r>
              <w:rPr>
                <w:rFonts w:hint="eastAsia" w:eastAsia="宋体"/>
                <w:sz w:val="21"/>
                <w:szCs w:val="21"/>
                <w:lang w:val="en-US" w:eastAsia="zh-CN"/>
              </w:rPr>
              <w:instrText xml:space="preserve"> HYPERLINK "https://220.160.52.164:8813/gaia/infoPublic/index.html" \l "/dashboard" </w:instrText>
            </w:r>
            <w:r>
              <w:rPr>
                <w:rFonts w:hint="eastAsia" w:eastAsia="宋体"/>
                <w:sz w:val="21"/>
                <w:szCs w:val="21"/>
                <w:lang w:val="en-US" w:eastAsia="zh-CN"/>
              </w:rPr>
              <w:fldChar w:fldCharType="separate"/>
            </w:r>
            <w:r>
              <w:rPr>
                <w:rFonts w:hint="eastAsia" w:eastAsia="宋体"/>
                <w:sz w:val="21"/>
                <w:szCs w:val="21"/>
                <w:lang w:val="en-US" w:eastAsia="zh-CN"/>
              </w:rPr>
              <w:t>福建省建设行业信息公开平台</w:t>
            </w:r>
            <w:r>
              <w:rPr>
                <w:rFonts w:hint="eastAsia" w:eastAsia="宋体"/>
                <w:sz w:val="21"/>
                <w:szCs w:val="21"/>
                <w:lang w:val="en-US" w:eastAsia="zh-CN"/>
              </w:rPr>
              <w:fldChar w:fldCharType="end"/>
            </w:r>
          </w:p>
          <w:p w14:paraId="5BB7B98A">
            <w:pPr>
              <w:bidi w:val="0"/>
              <w:spacing w:line="440" w:lineRule="exact"/>
              <w:ind w:firstLine="0" w:firstLineChars="0"/>
              <w:rPr>
                <w:rFonts w:hint="eastAsia" w:eastAsia="宋体"/>
                <w:sz w:val="21"/>
                <w:szCs w:val="21"/>
                <w:lang w:val="en-US" w:eastAsia="zh-CN"/>
              </w:rPr>
            </w:pPr>
            <w:r>
              <w:rPr>
                <w:rFonts w:hint="eastAsia" w:eastAsia="宋体"/>
                <w:sz w:val="21"/>
                <w:szCs w:val="21"/>
                <w:lang w:val="en-US" w:eastAsia="zh-CN"/>
              </w:rPr>
              <w:t>（https://220.160.52.164:8813/gaia/infoPublic/index.html#/dashboard）</w:t>
            </w:r>
          </w:p>
          <w:p w14:paraId="706F5EC9">
            <w:pPr>
              <w:bidi w:val="0"/>
              <w:spacing w:line="440" w:lineRule="exact"/>
              <w:ind w:firstLine="0" w:firstLineChars="0"/>
              <w:rPr>
                <w:rFonts w:hint="eastAsia" w:eastAsia="宋体"/>
                <w:sz w:val="21"/>
                <w:szCs w:val="21"/>
              </w:rPr>
            </w:pPr>
            <w:r>
              <w:rPr>
                <w:rFonts w:hint="eastAsia" w:eastAsia="宋体"/>
                <w:sz w:val="21"/>
                <w:szCs w:val="21"/>
                <w:lang w:val="en-US" w:eastAsia="zh-CN"/>
              </w:rPr>
              <w:t>工程造价查询。</w:t>
            </w:r>
          </w:p>
        </w:tc>
        <w:tc>
          <w:tcPr>
            <w:tcW w:w="336" w:type="pct"/>
            <w:tcBorders>
              <w:top w:val="single" w:color="000000" w:sz="4" w:space="0"/>
              <w:bottom w:val="single" w:color="000000" w:sz="4" w:space="0"/>
            </w:tcBorders>
            <w:shd w:val="clear" w:color="auto" w:fill="auto"/>
            <w:vAlign w:val="center"/>
          </w:tcPr>
          <w:p w14:paraId="1D228131">
            <w:pPr>
              <w:bidi w:val="0"/>
              <w:spacing w:line="440" w:lineRule="exact"/>
              <w:ind w:firstLine="0" w:firstLineChars="0"/>
              <w:jc w:val="center"/>
              <w:rPr>
                <w:rFonts w:hint="default" w:eastAsia="宋体"/>
                <w:sz w:val="21"/>
                <w:szCs w:val="21"/>
                <w:lang w:val="en-US"/>
              </w:rPr>
            </w:pPr>
            <w:r>
              <w:rPr>
                <w:rFonts w:hint="eastAsia" w:eastAsia="宋体"/>
                <w:sz w:val="21"/>
                <w:szCs w:val="21"/>
                <w:lang w:val="en-US" w:eastAsia="zh-CN"/>
              </w:rPr>
              <w:t>10</w:t>
            </w:r>
          </w:p>
        </w:tc>
        <w:tc>
          <w:tcPr>
            <w:tcW w:w="317" w:type="pct"/>
            <w:tcBorders>
              <w:top w:val="single" w:color="000000" w:sz="4" w:space="0"/>
              <w:bottom w:val="single" w:color="000000" w:sz="4" w:space="0"/>
            </w:tcBorders>
            <w:shd w:val="clear" w:color="auto" w:fill="auto"/>
            <w:vAlign w:val="center"/>
          </w:tcPr>
          <w:p w14:paraId="36D6662D">
            <w:pPr>
              <w:bidi w:val="0"/>
              <w:spacing w:line="440" w:lineRule="exact"/>
              <w:ind w:firstLine="0" w:firstLineChars="0"/>
              <w:jc w:val="center"/>
              <w:rPr>
                <w:rFonts w:hint="default" w:eastAsia="宋体"/>
                <w:sz w:val="21"/>
                <w:szCs w:val="21"/>
                <w:lang w:val="en-US"/>
              </w:rPr>
            </w:pPr>
            <w:r>
              <w:rPr>
                <w:rFonts w:hint="eastAsia" w:eastAsia="宋体"/>
                <w:sz w:val="21"/>
                <w:szCs w:val="21"/>
                <w:lang w:val="en-US" w:eastAsia="zh-CN"/>
              </w:rPr>
              <w:t>10</w:t>
            </w:r>
          </w:p>
        </w:tc>
        <w:tc>
          <w:tcPr>
            <w:tcW w:w="847" w:type="pct"/>
            <w:tcBorders>
              <w:top w:val="single" w:color="000000" w:sz="4" w:space="0"/>
              <w:bottom w:val="single" w:color="000000" w:sz="4" w:space="0"/>
            </w:tcBorders>
            <w:shd w:val="clear" w:color="auto" w:fill="auto"/>
            <w:vAlign w:val="center"/>
          </w:tcPr>
          <w:p w14:paraId="2B689AFF">
            <w:pPr>
              <w:bidi w:val="0"/>
              <w:spacing w:line="440" w:lineRule="exact"/>
              <w:ind w:firstLine="0" w:firstLineChars="0"/>
              <w:rPr>
                <w:rFonts w:hint="eastAsia" w:eastAsia="宋体"/>
                <w:sz w:val="21"/>
                <w:szCs w:val="21"/>
              </w:rPr>
            </w:pPr>
            <w:r>
              <w:rPr>
                <w:rFonts w:hint="eastAsia" w:eastAsia="宋体"/>
                <w:sz w:val="21"/>
                <w:szCs w:val="21"/>
                <w:lang w:val="en-US" w:eastAsia="zh-CN"/>
              </w:rPr>
              <w:t>专职从事工程造价专业工作的人员不少于10人，其中，具有工程或者工程经济类中级以上专业技术职称的人员不少于5人；取得助理造价工程师（或二级造价工程师）或以上执业资格证书的人员不少于3人。（提供有关证书复印件）</w:t>
            </w:r>
          </w:p>
        </w:tc>
        <w:tc>
          <w:tcPr>
            <w:tcW w:w="795" w:type="pct"/>
            <w:tcBorders>
              <w:top w:val="single" w:color="000000" w:sz="4" w:space="0"/>
              <w:bottom w:val="single" w:color="000000" w:sz="4" w:space="0"/>
            </w:tcBorders>
            <w:shd w:val="clear" w:color="auto" w:fill="auto"/>
            <w:vAlign w:val="center"/>
          </w:tcPr>
          <w:p w14:paraId="60D4A150">
            <w:pPr>
              <w:bidi w:val="0"/>
              <w:spacing w:line="440" w:lineRule="exact"/>
              <w:ind w:firstLine="0" w:firstLineChars="0"/>
              <w:rPr>
                <w:rFonts w:hint="eastAsia" w:eastAsia="宋体"/>
                <w:sz w:val="21"/>
                <w:szCs w:val="21"/>
              </w:rPr>
            </w:pPr>
            <w:r>
              <w:rPr>
                <w:rFonts w:hint="eastAsia" w:eastAsia="宋体"/>
                <w:sz w:val="21"/>
                <w:szCs w:val="21"/>
                <w:lang w:val="en-US" w:eastAsia="zh-CN"/>
              </w:rPr>
              <w:t>近5年来至少独立完成过2</w:t>
            </w:r>
            <w:r>
              <w:rPr>
                <w:rFonts w:eastAsia="宋体"/>
                <w:sz w:val="21"/>
                <w:szCs w:val="21"/>
                <w:lang w:val="en-US" w:eastAsia="zh-CN"/>
              </w:rPr>
              <w:t>个委托造价5000万元（含5000万元）以上项目的造价咨询服务。（提供造价咨询合同复印件、所对应项目的造价咨询服务的招标公告或中标结果公示网页截屏等有效证明材料）</w:t>
            </w:r>
          </w:p>
        </w:tc>
        <w:tc>
          <w:tcPr>
            <w:tcW w:w="562" w:type="pct"/>
            <w:tcBorders>
              <w:top w:val="single" w:color="000000" w:sz="4" w:space="0"/>
              <w:bottom w:val="single" w:color="000000" w:sz="4" w:space="0"/>
            </w:tcBorders>
            <w:shd w:val="clear" w:color="auto" w:fill="auto"/>
            <w:vAlign w:val="center"/>
          </w:tcPr>
          <w:p w14:paraId="05021839">
            <w:pPr>
              <w:bidi w:val="0"/>
              <w:spacing w:line="440" w:lineRule="exact"/>
              <w:ind w:firstLine="0" w:firstLineChars="0"/>
              <w:rPr>
                <w:rFonts w:hint="eastAsia" w:eastAsia="宋体"/>
                <w:sz w:val="21"/>
                <w:szCs w:val="21"/>
              </w:rPr>
            </w:pPr>
            <w:r>
              <w:rPr>
                <w:rFonts w:hint="eastAsia" w:eastAsia="宋体"/>
                <w:sz w:val="21"/>
                <w:szCs w:val="21"/>
                <w:lang w:val="en-US" w:eastAsia="zh-CN"/>
              </w:rPr>
              <w:t>造价单位：建设行政主管部门颁发的造价咨询甲级资质</w:t>
            </w:r>
          </w:p>
        </w:tc>
      </w:tr>
      <w:tr w14:paraId="5813678C">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0" w:type="dxa"/>
            <w:left w:w="108" w:type="dxa"/>
            <w:bottom w:w="0" w:type="dxa"/>
            <w:right w:w="108" w:type="dxa"/>
          </w:tblCellMar>
        </w:tblPrEx>
        <w:trPr>
          <w:trHeight w:val="3530" w:hRule="atLeast"/>
        </w:trPr>
        <w:tc>
          <w:tcPr>
            <w:tcW w:w="250" w:type="pct"/>
            <w:tcBorders>
              <w:top w:val="single" w:color="000000" w:sz="4" w:space="0"/>
              <w:tl2br w:val="nil"/>
              <w:tr2bl w:val="nil"/>
            </w:tcBorders>
            <w:shd w:val="clear" w:color="auto" w:fill="auto"/>
            <w:vAlign w:val="center"/>
          </w:tcPr>
          <w:p w14:paraId="1362D1C1">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3</w:t>
            </w:r>
          </w:p>
        </w:tc>
        <w:tc>
          <w:tcPr>
            <w:tcW w:w="398" w:type="pct"/>
            <w:tcBorders>
              <w:top w:val="single" w:color="000000" w:sz="4" w:space="0"/>
              <w:tl2br w:val="nil"/>
              <w:tr2bl w:val="nil"/>
            </w:tcBorders>
            <w:shd w:val="clear" w:color="auto" w:fill="auto"/>
            <w:vAlign w:val="center"/>
          </w:tcPr>
          <w:p w14:paraId="61A54F6E">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资产评估</w:t>
            </w:r>
          </w:p>
        </w:tc>
        <w:tc>
          <w:tcPr>
            <w:tcW w:w="672" w:type="pct"/>
            <w:tcBorders>
              <w:top w:val="single" w:color="000000" w:sz="4" w:space="0"/>
              <w:tl2br w:val="nil"/>
              <w:tr2bl w:val="nil"/>
            </w:tcBorders>
            <w:shd w:val="clear" w:color="auto" w:fill="auto"/>
            <w:vAlign w:val="center"/>
          </w:tcPr>
          <w:p w14:paraId="076CC613">
            <w:pPr>
              <w:bidi w:val="0"/>
              <w:spacing w:line="440" w:lineRule="exact"/>
              <w:ind w:firstLine="0" w:firstLineChars="0"/>
              <w:rPr>
                <w:rFonts w:hint="eastAsia" w:eastAsia="宋体"/>
                <w:sz w:val="21"/>
                <w:szCs w:val="21"/>
              </w:rPr>
            </w:pPr>
            <w:r>
              <w:rPr>
                <w:rFonts w:hint="eastAsia" w:eastAsia="宋体"/>
                <w:sz w:val="21"/>
                <w:szCs w:val="21"/>
                <w:lang w:val="en-US" w:eastAsia="zh-CN"/>
              </w:rPr>
              <w:t>对不动产、动产、无形资产、企业价值、资产损失及其他经济权益进行评定、估算，并出具评估报告。</w:t>
            </w:r>
          </w:p>
        </w:tc>
        <w:tc>
          <w:tcPr>
            <w:tcW w:w="819" w:type="pct"/>
            <w:tcBorders>
              <w:top w:val="single" w:color="000000" w:sz="4" w:space="0"/>
              <w:tl2br w:val="nil"/>
              <w:tr2bl w:val="nil"/>
            </w:tcBorders>
            <w:shd w:val="clear" w:color="auto" w:fill="auto"/>
            <w:vAlign w:val="center"/>
          </w:tcPr>
          <w:p w14:paraId="3477BD45">
            <w:pPr>
              <w:bidi w:val="0"/>
              <w:spacing w:line="440" w:lineRule="exact"/>
              <w:ind w:firstLine="0" w:firstLineChars="0"/>
              <w:rPr>
                <w:rFonts w:hint="eastAsia" w:eastAsia="宋体"/>
                <w:sz w:val="21"/>
                <w:szCs w:val="21"/>
              </w:rPr>
            </w:pPr>
            <w:r>
              <w:rPr>
                <w:rFonts w:hint="eastAsia" w:eastAsia="宋体"/>
                <w:sz w:val="21"/>
                <w:szCs w:val="21"/>
                <w:lang w:val="en-US" w:eastAsia="zh-CN"/>
              </w:rPr>
              <w:t>须为中国资产评估协会（http://47.94.11.33:8035/HangYeXinXiChaXun/ziChanPingGuJiGouSelect）资产评估机构名录库内单位</w:t>
            </w:r>
          </w:p>
        </w:tc>
        <w:tc>
          <w:tcPr>
            <w:tcW w:w="336" w:type="pct"/>
            <w:tcBorders>
              <w:top w:val="single" w:color="000000" w:sz="4" w:space="0"/>
              <w:tl2br w:val="nil"/>
              <w:tr2bl w:val="nil"/>
            </w:tcBorders>
            <w:shd w:val="clear" w:color="auto" w:fill="auto"/>
            <w:vAlign w:val="center"/>
          </w:tcPr>
          <w:p w14:paraId="10B06128">
            <w:pPr>
              <w:bidi w:val="0"/>
              <w:spacing w:line="440" w:lineRule="exact"/>
              <w:ind w:firstLine="0" w:firstLineChars="0"/>
              <w:jc w:val="center"/>
              <w:rPr>
                <w:rFonts w:hint="default" w:eastAsia="宋体"/>
                <w:sz w:val="21"/>
                <w:szCs w:val="21"/>
                <w:lang w:val="en-US"/>
              </w:rPr>
            </w:pPr>
            <w:r>
              <w:rPr>
                <w:rFonts w:hint="eastAsia" w:eastAsia="宋体"/>
                <w:sz w:val="21"/>
                <w:szCs w:val="21"/>
                <w:lang w:val="en-US" w:eastAsia="zh-CN"/>
              </w:rPr>
              <w:t>10</w:t>
            </w:r>
          </w:p>
        </w:tc>
        <w:tc>
          <w:tcPr>
            <w:tcW w:w="317" w:type="pct"/>
            <w:tcBorders>
              <w:top w:val="single" w:color="000000" w:sz="4" w:space="0"/>
              <w:tl2br w:val="nil"/>
              <w:tr2bl w:val="nil"/>
            </w:tcBorders>
            <w:shd w:val="clear" w:color="auto" w:fill="auto"/>
            <w:vAlign w:val="center"/>
          </w:tcPr>
          <w:p w14:paraId="191294D8">
            <w:pPr>
              <w:bidi w:val="0"/>
              <w:spacing w:line="440" w:lineRule="exact"/>
              <w:ind w:firstLine="0" w:firstLineChars="0"/>
              <w:jc w:val="center"/>
              <w:rPr>
                <w:rFonts w:hint="default" w:eastAsia="宋体"/>
                <w:sz w:val="21"/>
                <w:szCs w:val="21"/>
                <w:lang w:val="en-US"/>
              </w:rPr>
            </w:pPr>
            <w:r>
              <w:rPr>
                <w:rFonts w:hint="eastAsia" w:eastAsia="宋体"/>
                <w:sz w:val="21"/>
                <w:szCs w:val="21"/>
                <w:lang w:val="en-US" w:eastAsia="zh-CN"/>
              </w:rPr>
              <w:t>10</w:t>
            </w:r>
          </w:p>
        </w:tc>
        <w:tc>
          <w:tcPr>
            <w:tcW w:w="847" w:type="pct"/>
            <w:tcBorders>
              <w:top w:val="single" w:color="000000" w:sz="4" w:space="0"/>
              <w:tl2br w:val="nil"/>
              <w:tr2bl w:val="nil"/>
            </w:tcBorders>
            <w:shd w:val="clear" w:color="auto" w:fill="auto"/>
            <w:vAlign w:val="center"/>
          </w:tcPr>
          <w:p w14:paraId="602C4662">
            <w:pPr>
              <w:bidi w:val="0"/>
              <w:spacing w:line="440" w:lineRule="exact"/>
              <w:ind w:firstLine="0" w:firstLineChars="0"/>
              <w:rPr>
                <w:rFonts w:hint="eastAsia" w:eastAsia="宋体"/>
                <w:sz w:val="21"/>
                <w:szCs w:val="21"/>
              </w:rPr>
            </w:pPr>
            <w:r>
              <w:rPr>
                <w:rFonts w:hint="eastAsia" w:eastAsia="宋体"/>
                <w:sz w:val="21"/>
                <w:szCs w:val="21"/>
                <w:lang w:val="en-US" w:eastAsia="zh-CN"/>
              </w:rPr>
              <w:t>拥有不少于10名专职从事于资产评估专业工作的人员，其中具有中级及以上技术职称或注册资产评估师执业资格的不得少于2人。（提供有关证书复印件）</w:t>
            </w:r>
          </w:p>
        </w:tc>
        <w:tc>
          <w:tcPr>
            <w:tcW w:w="795" w:type="pct"/>
            <w:tcBorders>
              <w:top w:val="single" w:color="000000" w:sz="4" w:space="0"/>
              <w:tl2br w:val="nil"/>
              <w:tr2bl w:val="nil"/>
            </w:tcBorders>
            <w:shd w:val="clear" w:color="auto" w:fill="auto"/>
            <w:vAlign w:val="center"/>
          </w:tcPr>
          <w:p w14:paraId="08B5B729">
            <w:pPr>
              <w:bidi w:val="0"/>
              <w:spacing w:line="440" w:lineRule="exact"/>
              <w:ind w:firstLine="0" w:firstLineChars="0"/>
              <w:rPr>
                <w:rFonts w:hint="eastAsia" w:eastAsia="宋体"/>
                <w:sz w:val="21"/>
                <w:szCs w:val="21"/>
              </w:rPr>
            </w:pPr>
            <w:r>
              <w:rPr>
                <w:rFonts w:hint="eastAsia" w:eastAsia="宋体"/>
                <w:sz w:val="21"/>
                <w:szCs w:val="21"/>
                <w:lang w:val="en-US" w:eastAsia="zh-CN"/>
              </w:rPr>
              <w:t>近5年来至少独立完成过3个项目金额100万元（含）以上的资产评估服务项目。（提供资产评估合同复印件、所代理项目中标结果公示网页截屏）</w:t>
            </w:r>
          </w:p>
        </w:tc>
        <w:tc>
          <w:tcPr>
            <w:tcW w:w="562" w:type="pct"/>
            <w:tcBorders>
              <w:top w:val="single" w:color="000000" w:sz="4" w:space="0"/>
              <w:tl2br w:val="nil"/>
              <w:tr2bl w:val="nil"/>
            </w:tcBorders>
            <w:shd w:val="clear" w:color="auto" w:fill="auto"/>
            <w:vAlign w:val="center"/>
          </w:tcPr>
          <w:p w14:paraId="5159A993">
            <w:pPr>
              <w:bidi w:val="0"/>
              <w:spacing w:line="440" w:lineRule="exact"/>
              <w:ind w:firstLine="0" w:firstLineChars="0"/>
              <w:rPr>
                <w:rFonts w:hint="eastAsia" w:eastAsia="宋体"/>
                <w:sz w:val="21"/>
                <w:szCs w:val="21"/>
              </w:rPr>
            </w:pPr>
          </w:p>
        </w:tc>
      </w:tr>
      <w:tr w14:paraId="02B9373D">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0" w:type="dxa"/>
            <w:left w:w="108" w:type="dxa"/>
            <w:bottom w:w="0" w:type="dxa"/>
            <w:right w:w="108" w:type="dxa"/>
          </w:tblCellMar>
        </w:tblPrEx>
        <w:trPr>
          <w:trHeight w:val="1380" w:hRule="atLeast"/>
        </w:trPr>
        <w:tc>
          <w:tcPr>
            <w:tcW w:w="5000" w:type="pct"/>
            <w:gridSpan w:val="9"/>
            <w:tcBorders>
              <w:top w:val="single" w:color="auto" w:sz="4" w:space="0"/>
              <w:tl2br w:val="nil"/>
              <w:tr2bl w:val="nil"/>
            </w:tcBorders>
            <w:shd w:val="clear" w:color="auto" w:fill="auto"/>
            <w:vAlign w:val="top"/>
          </w:tcPr>
          <w:p w14:paraId="6734929D">
            <w:pPr>
              <w:bidi w:val="0"/>
              <w:spacing w:line="440" w:lineRule="exact"/>
              <w:ind w:firstLine="0" w:firstLineChars="0"/>
              <w:rPr>
                <w:rFonts w:hint="eastAsia" w:eastAsia="宋体"/>
                <w:sz w:val="21"/>
                <w:szCs w:val="21"/>
                <w:lang w:val="en-US" w:eastAsia="zh-CN"/>
              </w:rPr>
            </w:pPr>
            <w:r>
              <w:rPr>
                <w:rFonts w:hint="eastAsia" w:eastAsia="宋体"/>
                <w:sz w:val="21"/>
                <w:szCs w:val="21"/>
                <w:lang w:val="en-US" w:eastAsia="zh-CN"/>
              </w:rPr>
              <w:t>注：</w:t>
            </w:r>
          </w:p>
          <w:p w14:paraId="7583AAD9">
            <w:pPr>
              <w:bidi w:val="0"/>
              <w:spacing w:line="440" w:lineRule="exact"/>
              <w:ind w:firstLine="0" w:firstLineChars="0"/>
              <w:rPr>
                <w:rFonts w:hint="eastAsia" w:eastAsia="宋体"/>
                <w:sz w:val="21"/>
                <w:szCs w:val="21"/>
              </w:rPr>
            </w:pPr>
            <w:r>
              <w:rPr>
                <w:rFonts w:hint="eastAsia" w:eastAsia="宋体"/>
                <w:sz w:val="21"/>
                <w:szCs w:val="21"/>
                <w:lang w:val="en-US" w:eastAsia="zh-CN"/>
              </w:rPr>
              <w:t>1、上述涉及相关网站的网址及页面截屏，网站域名应为“.gov.cn ”为后缀的英文域名或“中国招标投标公共服务平台”或项目所在地省级电子招标投标公共服务平台网址，否则一律按证明资料不齐处理；</w:t>
            </w:r>
            <w:r>
              <w:rPr>
                <w:rFonts w:hint="eastAsia" w:eastAsia="宋体"/>
                <w:sz w:val="21"/>
                <w:szCs w:val="21"/>
                <w:lang w:val="en-US" w:eastAsia="zh-CN"/>
              </w:rPr>
              <w:br w:type="textWrapping"/>
            </w:r>
            <w:r>
              <w:rPr>
                <w:rFonts w:hint="eastAsia" w:eastAsia="宋体"/>
                <w:sz w:val="21"/>
                <w:szCs w:val="21"/>
                <w:lang w:val="en-US" w:eastAsia="zh-CN"/>
              </w:rPr>
              <w:t>2、人员基本要求中的人员必须为企业自有人员，须提供</w:t>
            </w:r>
            <w:r>
              <w:rPr>
                <w:rFonts w:hint="eastAsia" w:eastAsia="宋体"/>
                <w:sz w:val="21"/>
                <w:szCs w:val="21"/>
                <w:highlight w:val="none"/>
                <w:lang w:val="en-US" w:eastAsia="zh-CN"/>
              </w:rPr>
              <w:t>2024年5月至7月</w:t>
            </w:r>
            <w:r>
              <w:rPr>
                <w:rFonts w:hint="eastAsia" w:eastAsia="宋体"/>
                <w:sz w:val="21"/>
                <w:szCs w:val="21"/>
                <w:lang w:val="en-US" w:eastAsia="zh-CN"/>
              </w:rPr>
              <w:t>连续3个月的的社保缴纳证明；</w:t>
            </w:r>
            <w:r>
              <w:rPr>
                <w:rFonts w:hint="eastAsia" w:eastAsia="宋体"/>
                <w:sz w:val="21"/>
                <w:szCs w:val="21"/>
                <w:lang w:val="en-US" w:eastAsia="zh-CN"/>
              </w:rPr>
              <w:br w:type="textWrapping"/>
            </w:r>
            <w:r>
              <w:rPr>
                <w:rFonts w:hint="eastAsia" w:eastAsia="宋体"/>
                <w:sz w:val="21"/>
                <w:szCs w:val="21"/>
                <w:lang w:val="en-US" w:eastAsia="zh-CN"/>
              </w:rPr>
              <w:t>3、以上复印件均须提供原件备查；</w:t>
            </w:r>
          </w:p>
        </w:tc>
      </w:tr>
    </w:tbl>
    <w:p w14:paraId="795FBA1A">
      <w:bookmarkStart w:id="0" w:name="_GoBack"/>
      <w:bookmarkEnd w:id="0"/>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MjcwNmIwZTYzNTRjNjY0YzFlMzNjY2VkOGY1YjQifQ=="/>
  </w:docVars>
  <w:rsids>
    <w:rsidRoot w:val="00000000"/>
    <w:rsid w:val="0AB713EB"/>
    <w:rsid w:val="0F4C5A9A"/>
    <w:rsid w:val="141B67D0"/>
    <w:rsid w:val="1B1D0797"/>
    <w:rsid w:val="28FF05B6"/>
    <w:rsid w:val="295E3016"/>
    <w:rsid w:val="29B1174C"/>
    <w:rsid w:val="2AD01F26"/>
    <w:rsid w:val="2B7F1994"/>
    <w:rsid w:val="3C4D2ED4"/>
    <w:rsid w:val="4A543958"/>
    <w:rsid w:val="4AFE7DC8"/>
    <w:rsid w:val="4E2B425A"/>
    <w:rsid w:val="5619314C"/>
    <w:rsid w:val="58791C73"/>
    <w:rsid w:val="5D4A33F5"/>
    <w:rsid w:val="61D1646C"/>
    <w:rsid w:val="6271065C"/>
    <w:rsid w:val="67750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0" w:firstLineChars="0"/>
      <w:jc w:val="both"/>
    </w:pPr>
    <w:rPr>
      <w:rFonts w:ascii="Times New Roman" w:hAnsi="Times New Roman" w:eastAsia="宋体" w:cstheme="minorBidi"/>
      <w:kern w:val="2"/>
      <w:sz w:val="2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5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971</Words>
  <Characters>1191</Characters>
  <Lines>0</Lines>
  <Paragraphs>0</Paragraphs>
  <TotalTime>0</TotalTime>
  <ScaleCrop>false</ScaleCrop>
  <LinksUpToDate>false</LinksUpToDate>
  <CharactersWithSpaces>1192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2024-05-22T03:49:00Z</dcterms:created>
  <dc:creator>LENOVO</dc:creator>
  <cp:lastModifiedBy>yu</cp:lastModifiedBy>
  <dcterms:modified xsi:type="dcterms:W3CDTF">2024-08-27T07:30:50Z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58793059AB574E1ABFDA8900314587B5_12</vt:lpwstr>
  </property>
</Properties>
</file>